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_GB2312" w:hAnsi="仿宋_GB2312" w:eastAsia="宋体"/>
          <w:b/>
          <w:color w:val="000000" w:themeColor="text1"/>
          <w:sz w:val="24"/>
          <w:u w:val="single"/>
          <w14:textFill>
            <w14:solidFill>
              <w14:schemeClr w14:val="tx1"/>
            </w14:solidFill>
          </w14:textFill>
        </w:rPr>
      </w:pPr>
      <w:r>
        <w:rPr>
          <w:rFonts w:hint="eastAsia" w:ascii="宋体" w:hAnsi="宋体" w:eastAsia="宋体" w:cs="宋体"/>
          <w:b/>
          <w:bCs/>
          <w:color w:val="000000" w:themeColor="text1"/>
          <w:sz w:val="32"/>
          <w:szCs w:val="32"/>
          <w:lang w:eastAsia="zh-CN"/>
          <w14:textFill>
            <w14:solidFill>
              <w14:schemeClr w14:val="tx1"/>
            </w14:solidFill>
          </w14:textFill>
        </w:rPr>
        <w:t>广东亿利达注塑设备采购项目</w:t>
      </w:r>
    </w:p>
    <w:p>
      <w:pPr>
        <w:adjustRightInd w:val="0"/>
        <w:snapToGrid w:val="0"/>
        <w:spacing w:after="120" w:line="360" w:lineRule="auto"/>
        <w:jc w:val="center"/>
        <w:rPr>
          <w:rFonts w:hint="eastAsia" w:ascii="黑体" w:hAnsi="黑体" w:eastAsia="黑体" w:cs="黑体"/>
          <w:b/>
          <w:color w:val="000000" w:themeColor="text1"/>
          <w:sz w:val="84"/>
          <w:szCs w:val="84"/>
          <w14:textFill>
            <w14:solidFill>
              <w14:schemeClr w14:val="tx1"/>
            </w14:solidFill>
          </w14:textFill>
        </w:rPr>
      </w:pPr>
      <w:r>
        <w:rPr>
          <w:rFonts w:hint="eastAsia" w:ascii="黑体" w:hAnsi="黑体" w:eastAsia="黑体" w:cs="黑体"/>
          <w:b/>
          <w:color w:val="000000" w:themeColor="text1"/>
          <w:sz w:val="84"/>
          <w:szCs w:val="84"/>
          <w14:textFill>
            <w14:solidFill>
              <w14:schemeClr w14:val="tx1"/>
            </w14:solidFill>
          </w14:textFill>
        </w:rPr>
        <w:t>招 标 文 件</w:t>
      </w:r>
    </w:p>
    <w:p>
      <w:pPr>
        <w:adjustRightInd w:val="0"/>
        <w:snapToGrid w:val="0"/>
        <w:spacing w:line="360" w:lineRule="auto"/>
        <w:jc w:val="cente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（项目编号：</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YLD-ZB-20240404</w:t>
      </w:r>
      <w:r>
        <w:rPr>
          <w:rFonts w:hint="eastAsia" w:ascii="宋体" w:hAnsi="宋体" w:eastAsia="宋体" w:cs="宋体"/>
          <w:b/>
          <w:bCs/>
          <w:color w:val="000000" w:themeColor="text1"/>
          <w:sz w:val="28"/>
          <w:szCs w:val="28"/>
          <w:highlight w:val="none"/>
          <w14:textFill>
            <w14:solidFill>
              <w14:schemeClr w14:val="tx1"/>
            </w14:solidFill>
          </w14:textFill>
        </w:rPr>
        <w:t>）</w:t>
      </w:r>
    </w:p>
    <w:p>
      <w:pPr>
        <w:adjustRightInd w:val="0"/>
        <w:snapToGrid w:val="0"/>
        <w:spacing w:after="120" w:line="360" w:lineRule="auto"/>
        <w:jc w:val="center"/>
        <w:rPr>
          <w:rFonts w:ascii="仿宋_GB2312" w:hAnsi="仿宋_GB2312"/>
          <w:b/>
          <w:color w:val="000000" w:themeColor="text1"/>
          <w:sz w:val="24"/>
          <w14:textFill>
            <w14:solidFill>
              <w14:schemeClr w14:val="tx1"/>
            </w14:solidFill>
          </w14:textFill>
        </w:rPr>
      </w:pPr>
    </w:p>
    <w:p>
      <w:pPr>
        <w:adjustRightInd w:val="0"/>
        <w:snapToGrid w:val="0"/>
        <w:spacing w:after="120" w:line="360" w:lineRule="auto"/>
        <w:jc w:val="center"/>
        <w:rPr>
          <w:rFonts w:ascii="仿宋_GB2312" w:hAnsi="仿宋_GB2312"/>
          <w:b/>
          <w:color w:val="000000" w:themeColor="text1"/>
          <w:sz w:val="24"/>
          <w14:textFill>
            <w14:solidFill>
              <w14:schemeClr w14:val="tx1"/>
            </w14:solidFill>
          </w14:textFill>
        </w:rPr>
      </w:pPr>
    </w:p>
    <w:p>
      <w:pPr>
        <w:adjustRightInd w:val="0"/>
        <w:snapToGrid w:val="0"/>
        <w:spacing w:after="120" w:line="360" w:lineRule="auto"/>
        <w:jc w:val="center"/>
        <w:rPr>
          <w:rFonts w:ascii="仿宋_GB2312" w:hAnsi="仿宋_GB2312" w:eastAsia="宋体"/>
          <w:b/>
          <w:color w:val="000000" w:themeColor="text1"/>
          <w:sz w:val="24"/>
          <w14:textFill>
            <w14:solidFill>
              <w14:schemeClr w14:val="tx1"/>
            </w14:solidFill>
          </w14:textFill>
        </w:rPr>
      </w:pPr>
    </w:p>
    <w:p>
      <w:pPr>
        <w:pStyle w:val="31"/>
        <w:rPr>
          <w:color w:val="000000" w:themeColor="text1"/>
          <w14:textFill>
            <w14:solidFill>
              <w14:schemeClr w14:val="tx1"/>
            </w14:solidFill>
          </w14:textFill>
        </w:rPr>
      </w:pPr>
    </w:p>
    <w:tbl>
      <w:tblPr>
        <w:tblStyle w:val="46"/>
        <w:tblW w:w="7091" w:type="dxa"/>
        <w:jc w:val="center"/>
        <w:tblLayout w:type="fixed"/>
        <w:tblCellMar>
          <w:top w:w="0" w:type="dxa"/>
          <w:left w:w="108" w:type="dxa"/>
          <w:bottom w:w="0" w:type="dxa"/>
          <w:right w:w="108" w:type="dxa"/>
        </w:tblCellMar>
      </w:tblPr>
      <w:tblGrid>
        <w:gridCol w:w="2313"/>
        <w:gridCol w:w="4778"/>
      </w:tblGrid>
      <w:tr>
        <w:tblPrEx>
          <w:tblCellMar>
            <w:top w:w="0" w:type="dxa"/>
            <w:left w:w="108" w:type="dxa"/>
            <w:bottom w:w="0" w:type="dxa"/>
            <w:right w:w="108" w:type="dxa"/>
          </w:tblCellMar>
        </w:tblPrEx>
        <w:trPr>
          <w:trHeight w:val="983" w:hRule="atLeast"/>
          <w:jc w:val="center"/>
        </w:trPr>
        <w:tc>
          <w:tcPr>
            <w:tcW w:w="2313" w:type="dxa"/>
            <w:vAlign w:val="center"/>
          </w:tcPr>
          <w:p>
            <w:pPr>
              <w:adjustRightInd w:val="0"/>
              <w:snapToGrid w:val="0"/>
              <w:spacing w:line="360" w:lineRule="auto"/>
              <w:jc w:val="distribute"/>
              <w:rPr>
                <w:rFonts w:ascii="仿宋_GB2312" w:hAnsi="仿宋_GB2312"/>
                <w:b/>
                <w:color w:val="000000" w:themeColor="text1"/>
                <w:sz w:val="32"/>
                <w:szCs w:val="32"/>
                <w14:textFill>
                  <w14:solidFill>
                    <w14:schemeClr w14:val="tx1"/>
                  </w14:solidFill>
                </w14:textFill>
              </w:rPr>
            </w:pPr>
            <w:r>
              <w:rPr>
                <w:rFonts w:hint="eastAsia" w:ascii="仿宋_GB2312" w:hAnsi="仿宋_GB2312"/>
                <w:b/>
                <w:color w:val="000000" w:themeColor="text1"/>
                <w:sz w:val="32"/>
                <w:szCs w:val="32"/>
                <w14:textFill>
                  <w14:solidFill>
                    <w14:schemeClr w14:val="tx1"/>
                  </w14:solidFill>
                </w14:textFill>
              </w:rPr>
              <w:t>招标人：</w:t>
            </w:r>
          </w:p>
        </w:tc>
        <w:tc>
          <w:tcPr>
            <w:tcW w:w="4778" w:type="dxa"/>
            <w:vAlign w:val="center"/>
          </w:tcPr>
          <w:p>
            <w:pPr>
              <w:adjustRightInd w:val="0"/>
              <w:snapToGrid w:val="0"/>
              <w:spacing w:line="360" w:lineRule="auto"/>
              <w:jc w:val="left"/>
              <w:rPr>
                <w:rFonts w:hint="default" w:ascii="仿宋_GB2312" w:hAnsi="仿宋_GB2312" w:eastAsia="宋体"/>
                <w:b/>
                <w:color w:val="000000" w:themeColor="text1"/>
                <w:sz w:val="32"/>
                <w:szCs w:val="32"/>
                <w:lang w:val="en-US" w:eastAsia="zh-CN"/>
                <w14:textFill>
                  <w14:solidFill>
                    <w14:schemeClr w14:val="tx1"/>
                  </w14:solidFill>
                </w14:textFill>
              </w:rPr>
            </w:pPr>
            <w:r>
              <w:rPr>
                <w:rFonts w:hint="eastAsia" w:ascii="宋体" w:hAnsi="宋体" w:eastAsia="宋体"/>
                <w:b/>
                <w:bCs/>
                <w:color w:val="000000" w:themeColor="text1"/>
                <w:sz w:val="32"/>
                <w:szCs w:val="32"/>
                <w:lang w:val="en-US" w:eastAsia="zh-CN"/>
                <w14:textFill>
                  <w14:solidFill>
                    <w14:schemeClr w14:val="tx1"/>
                  </w14:solidFill>
                </w14:textFill>
              </w:rPr>
              <w:t>广东亿利达风机有限公司</w:t>
            </w:r>
          </w:p>
        </w:tc>
      </w:tr>
    </w:tbl>
    <w:p>
      <w:pPr>
        <w:adjustRightInd w:val="0"/>
        <w:snapToGrid w:val="0"/>
        <w:spacing w:after="120" w:line="360" w:lineRule="auto"/>
        <w:jc w:val="center"/>
        <w:rPr>
          <w:rFonts w:ascii="仿宋_GB2312" w:hAnsi="仿宋_GB2312"/>
          <w:b/>
          <w:color w:val="000000" w:themeColor="text1"/>
          <w:sz w:val="32"/>
          <w:szCs w:val="32"/>
          <w14:textFill>
            <w14:solidFill>
              <w14:schemeClr w14:val="tx1"/>
            </w14:solidFill>
          </w14:textFill>
        </w:rPr>
      </w:pPr>
    </w:p>
    <w:p>
      <w:pPr>
        <w:adjustRightInd w:val="0"/>
        <w:snapToGrid w:val="0"/>
        <w:spacing w:after="120" w:line="360" w:lineRule="auto"/>
        <w:jc w:val="center"/>
        <w:rPr>
          <w:rFonts w:hint="eastAsia" w:ascii="仿宋_GB2312" w:hAnsi="仿宋_GB2312" w:eastAsia="宋体"/>
          <w:color w:val="000000" w:themeColor="text1"/>
          <w:sz w:val="24"/>
          <w:highlight w:val="none"/>
          <w:lang w:eastAsia="zh-CN"/>
          <w14:textFill>
            <w14:solidFill>
              <w14:schemeClr w14:val="tx1"/>
            </w14:solidFill>
          </w14:textFill>
        </w:rPr>
        <w:sectPr>
          <w:headerReference r:id="rId3" w:type="default"/>
          <w:footerReference r:id="rId5" w:type="default"/>
          <w:headerReference r:id="rId4" w:type="even"/>
          <w:pgSz w:w="11850" w:h="16783"/>
          <w:pgMar w:top="1440" w:right="1800" w:bottom="1440" w:left="1800" w:header="1417" w:footer="1417" w:gutter="0"/>
          <w:pgBorders>
            <w:top w:val="none" w:sz="0" w:space="0"/>
            <w:left w:val="none" w:sz="0" w:space="0"/>
            <w:bottom w:val="none" w:sz="0" w:space="0"/>
            <w:right w:val="none" w:sz="0" w:space="0"/>
          </w:pgBorders>
          <w:pgNumType w:start="1"/>
          <w:cols w:space="720" w:num="1"/>
          <w:docGrid w:type="linesAndChars" w:linePitch="380" w:charSpace="0"/>
        </w:sectPr>
      </w:pPr>
      <w:r>
        <w:rPr>
          <w:rFonts w:hint="eastAsia" w:ascii="宋体" w:hAnsi="宋体" w:eastAsia="宋体" w:cs="宋体"/>
          <w:b/>
          <w:color w:val="000000" w:themeColor="text1"/>
          <w:sz w:val="32"/>
          <w:szCs w:val="32"/>
          <w:highlight w:val="none"/>
          <w:lang w:eastAsia="zh-CN"/>
          <w14:textFill>
            <w14:solidFill>
              <w14:schemeClr w14:val="tx1"/>
            </w14:solidFill>
          </w14:textFill>
        </w:rPr>
        <w:t>二〇二四年四月</w:t>
      </w:r>
    </w:p>
    <w:p>
      <w:pPr>
        <w:tabs>
          <w:tab w:val="left" w:leader="middleDot" w:pos="8190"/>
        </w:tabs>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目    录</w:t>
      </w:r>
    </w:p>
    <w:p>
      <w:pPr>
        <w:pStyle w:val="31"/>
        <w:tabs>
          <w:tab w:val="right" w:leader="hyphen" w:pos="8559"/>
          <w:tab w:val="clear" w:pos="360"/>
          <w:tab w:val="clear" w:pos="8280"/>
        </w:tabs>
        <w:rPr>
          <w:b/>
          <w:bCs/>
        </w:rPr>
      </w:pPr>
      <w:r>
        <w:rPr>
          <w:rFonts w:hint="eastAsia" w:ascii="宋体" w:hAnsi="宋体" w:eastAsia="宋体" w:cs="宋体"/>
          <w:b w:val="0"/>
          <w:bCs w:val="0"/>
          <w:color w:val="000000" w:themeColor="text1"/>
          <w:sz w:val="21"/>
          <w14:textFill>
            <w14:solidFill>
              <w14:schemeClr w14:val="tx1"/>
            </w14:solidFill>
          </w14:textFill>
        </w:rPr>
        <w:fldChar w:fldCharType="begin"/>
      </w:r>
      <w:r>
        <w:rPr>
          <w:rFonts w:hint="eastAsia" w:ascii="宋体" w:hAnsi="宋体" w:eastAsia="宋体" w:cs="宋体"/>
          <w:b w:val="0"/>
          <w:bCs w:val="0"/>
          <w:color w:val="000000" w:themeColor="text1"/>
          <w:sz w:val="21"/>
          <w14:textFill>
            <w14:solidFill>
              <w14:schemeClr w14:val="tx1"/>
            </w14:solidFill>
          </w14:textFill>
        </w:rPr>
        <w:instrText xml:space="preserve">TOC \o "1-2" \h \u </w:instrText>
      </w:r>
      <w:r>
        <w:rPr>
          <w:rFonts w:hint="eastAsia" w:ascii="宋体" w:hAnsi="宋体" w:eastAsia="宋体" w:cs="宋体"/>
          <w:b w:val="0"/>
          <w:bCs w:val="0"/>
          <w:color w:val="000000" w:themeColor="text1"/>
          <w:sz w:val="21"/>
          <w14:textFill>
            <w14:solidFill>
              <w14:schemeClr w14:val="tx1"/>
            </w14:solidFill>
          </w14:textFill>
        </w:rPr>
        <w:fldChar w:fldCharType="separate"/>
      </w: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_Toc2225 </w:instrText>
      </w:r>
      <w:r>
        <w:rPr>
          <w:rFonts w:hint="eastAsia" w:ascii="宋体" w:hAnsi="宋体" w:eastAsia="宋体" w:cs="宋体"/>
          <w:b/>
          <w:bCs/>
          <w:szCs w:val="21"/>
        </w:rPr>
        <w:fldChar w:fldCharType="separate"/>
      </w:r>
      <w:r>
        <w:rPr>
          <w:rFonts w:hint="eastAsia" w:ascii="黑体" w:hAnsi="黑体" w:cs="黑体"/>
          <w:b/>
          <w:bCs/>
        </w:rPr>
        <w:t xml:space="preserve">第一章  </w:t>
      </w:r>
      <w:r>
        <w:rPr>
          <w:rFonts w:hint="eastAsia" w:ascii="黑体" w:hAnsi="黑体" w:cs="黑体"/>
          <w:b/>
          <w:bCs/>
          <w:lang w:val="en-US" w:eastAsia="zh-CN"/>
        </w:rPr>
        <w:t>招标公告</w:t>
      </w:r>
      <w:r>
        <w:rPr>
          <w:b/>
          <w:bCs/>
        </w:rPr>
        <w:tab/>
      </w:r>
      <w:r>
        <w:rPr>
          <w:b/>
          <w:bCs/>
        </w:rPr>
        <w:fldChar w:fldCharType="begin"/>
      </w:r>
      <w:r>
        <w:rPr>
          <w:b/>
          <w:bCs/>
        </w:rPr>
        <w:instrText xml:space="preserve"> PAGEREF _Toc2225 \h </w:instrText>
      </w:r>
      <w:r>
        <w:rPr>
          <w:b/>
          <w:bCs/>
        </w:rPr>
        <w:fldChar w:fldCharType="separate"/>
      </w:r>
      <w:r>
        <w:rPr>
          <w:b/>
          <w:bCs/>
        </w:rPr>
        <w:t>4</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_Toc15768 </w:instrText>
      </w:r>
      <w:r>
        <w:rPr>
          <w:rFonts w:hint="eastAsia" w:ascii="宋体" w:hAnsi="宋体" w:eastAsia="宋体" w:cs="宋体"/>
          <w:b w:val="0"/>
          <w:bCs w:val="0"/>
          <w:szCs w:val="21"/>
        </w:rPr>
        <w:fldChar w:fldCharType="separate"/>
      </w:r>
      <w:r>
        <w:rPr>
          <w:rFonts w:hint="eastAsia" w:ascii="宋体" w:hAnsi="宋体" w:cs="宋体"/>
          <w:b w:val="0"/>
          <w:bCs w:val="0"/>
        </w:rPr>
        <w:t>一、 招标项目编号</w:t>
      </w:r>
      <w:r>
        <w:rPr>
          <w:b w:val="0"/>
          <w:bCs w:val="0"/>
        </w:rPr>
        <w:tab/>
      </w:r>
      <w:r>
        <w:rPr>
          <w:b w:val="0"/>
          <w:bCs w:val="0"/>
        </w:rPr>
        <w:fldChar w:fldCharType="begin"/>
      </w:r>
      <w:r>
        <w:rPr>
          <w:b w:val="0"/>
          <w:bCs w:val="0"/>
        </w:rPr>
        <w:instrText xml:space="preserve"> PAGEREF _Toc15768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_Toc11822 </w:instrText>
      </w:r>
      <w:r>
        <w:rPr>
          <w:rFonts w:hint="eastAsia" w:ascii="宋体" w:hAnsi="宋体" w:eastAsia="宋体" w:cs="宋体"/>
          <w:b w:val="0"/>
          <w:bCs w:val="0"/>
          <w:szCs w:val="21"/>
        </w:rPr>
        <w:fldChar w:fldCharType="separate"/>
      </w:r>
      <w:r>
        <w:rPr>
          <w:rFonts w:hint="eastAsia" w:ascii="宋体" w:hAnsi="宋体" w:cs="宋体"/>
          <w:b w:val="0"/>
          <w:bCs w:val="0"/>
        </w:rPr>
        <w:t>二、 项目名称</w:t>
      </w:r>
      <w:r>
        <w:rPr>
          <w:b w:val="0"/>
          <w:bCs w:val="0"/>
        </w:rPr>
        <w:tab/>
      </w:r>
      <w:r>
        <w:rPr>
          <w:b w:val="0"/>
          <w:bCs w:val="0"/>
        </w:rPr>
        <w:fldChar w:fldCharType="begin"/>
      </w:r>
      <w:r>
        <w:rPr>
          <w:b w:val="0"/>
          <w:bCs w:val="0"/>
        </w:rPr>
        <w:instrText xml:space="preserve"> PAGEREF _Toc11822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_Toc7424 </w:instrText>
      </w:r>
      <w:r>
        <w:rPr>
          <w:rFonts w:hint="eastAsia" w:ascii="宋体" w:hAnsi="宋体" w:eastAsia="宋体" w:cs="宋体"/>
          <w:b w:val="0"/>
          <w:bCs w:val="0"/>
          <w:szCs w:val="21"/>
        </w:rPr>
        <w:fldChar w:fldCharType="separate"/>
      </w:r>
      <w:r>
        <w:rPr>
          <w:rFonts w:hint="eastAsia" w:ascii="宋体" w:hAnsi="宋体" w:cs="宋体"/>
          <w:b w:val="0"/>
          <w:bCs w:val="0"/>
        </w:rPr>
        <w:t>三、 招标方式</w:t>
      </w:r>
      <w:r>
        <w:rPr>
          <w:b w:val="0"/>
          <w:bCs w:val="0"/>
        </w:rPr>
        <w:tab/>
      </w:r>
      <w:r>
        <w:rPr>
          <w:b w:val="0"/>
          <w:bCs w:val="0"/>
        </w:rPr>
        <w:fldChar w:fldCharType="begin"/>
      </w:r>
      <w:r>
        <w:rPr>
          <w:b w:val="0"/>
          <w:bCs w:val="0"/>
        </w:rPr>
        <w:instrText xml:space="preserve"> PAGEREF _Toc7424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_Toc889 </w:instrText>
      </w:r>
      <w:r>
        <w:rPr>
          <w:rFonts w:hint="eastAsia" w:ascii="宋体" w:hAnsi="宋体" w:eastAsia="宋体" w:cs="宋体"/>
          <w:b w:val="0"/>
          <w:bCs w:val="0"/>
          <w:szCs w:val="21"/>
        </w:rPr>
        <w:fldChar w:fldCharType="separate"/>
      </w:r>
      <w:r>
        <w:rPr>
          <w:rFonts w:hint="eastAsia" w:ascii="宋体" w:hAnsi="宋体" w:cs="宋体"/>
          <w:b w:val="0"/>
          <w:bCs w:val="0"/>
        </w:rPr>
        <w:t>四、招标项目概况</w:t>
      </w:r>
      <w:r>
        <w:rPr>
          <w:b w:val="0"/>
          <w:bCs w:val="0"/>
        </w:rPr>
        <w:tab/>
      </w:r>
      <w:r>
        <w:rPr>
          <w:b w:val="0"/>
          <w:bCs w:val="0"/>
        </w:rPr>
        <w:fldChar w:fldCharType="begin"/>
      </w:r>
      <w:r>
        <w:rPr>
          <w:b w:val="0"/>
          <w:bCs w:val="0"/>
        </w:rPr>
        <w:instrText xml:space="preserve"> PAGEREF _Toc889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_Toc6446 </w:instrText>
      </w:r>
      <w:r>
        <w:rPr>
          <w:rFonts w:hint="eastAsia" w:ascii="宋体" w:hAnsi="宋体" w:eastAsia="宋体" w:cs="宋体"/>
          <w:b w:val="0"/>
          <w:bCs w:val="0"/>
          <w:szCs w:val="21"/>
        </w:rPr>
        <w:fldChar w:fldCharType="separate"/>
      </w:r>
      <w:r>
        <w:rPr>
          <w:rFonts w:hint="eastAsia" w:ascii="宋体" w:hAnsi="宋体" w:cs="宋体"/>
          <w:b w:val="0"/>
          <w:bCs w:val="0"/>
        </w:rPr>
        <w:t>五、投标人资格要求</w:t>
      </w:r>
      <w:r>
        <w:rPr>
          <w:b w:val="0"/>
          <w:bCs w:val="0"/>
        </w:rPr>
        <w:tab/>
      </w:r>
      <w:r>
        <w:rPr>
          <w:b w:val="0"/>
          <w:bCs w:val="0"/>
        </w:rPr>
        <w:fldChar w:fldCharType="begin"/>
      </w:r>
      <w:r>
        <w:rPr>
          <w:b w:val="0"/>
          <w:bCs w:val="0"/>
        </w:rPr>
        <w:instrText xml:space="preserve"> PAGEREF _Toc6446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_Toc5854 </w:instrText>
      </w:r>
      <w:r>
        <w:rPr>
          <w:rFonts w:hint="eastAsia" w:ascii="宋体" w:hAnsi="宋体" w:eastAsia="宋体" w:cs="宋体"/>
          <w:b w:val="0"/>
          <w:bCs w:val="0"/>
          <w:szCs w:val="21"/>
        </w:rPr>
        <w:fldChar w:fldCharType="separate"/>
      </w:r>
      <w:r>
        <w:rPr>
          <w:rFonts w:hint="eastAsia" w:ascii="宋体" w:hAnsi="宋体" w:cs="宋体"/>
          <w:b w:val="0"/>
          <w:bCs w:val="0"/>
          <w:highlight w:val="none"/>
        </w:rPr>
        <w:t>六、投标人报名时间及地点等</w:t>
      </w:r>
      <w:r>
        <w:rPr>
          <w:b w:val="0"/>
          <w:bCs w:val="0"/>
        </w:rPr>
        <w:tab/>
      </w:r>
      <w:r>
        <w:rPr>
          <w:b w:val="0"/>
          <w:bCs w:val="0"/>
        </w:rPr>
        <w:fldChar w:fldCharType="begin"/>
      </w:r>
      <w:r>
        <w:rPr>
          <w:b w:val="0"/>
          <w:bCs w:val="0"/>
        </w:rPr>
        <w:instrText xml:space="preserve"> PAGEREF _Toc5854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_Toc21207 </w:instrText>
      </w:r>
      <w:r>
        <w:rPr>
          <w:rFonts w:hint="eastAsia" w:ascii="宋体" w:hAnsi="宋体" w:eastAsia="宋体" w:cs="宋体"/>
          <w:b w:val="0"/>
          <w:bCs w:val="0"/>
          <w:szCs w:val="21"/>
        </w:rPr>
        <w:fldChar w:fldCharType="separate"/>
      </w:r>
      <w:r>
        <w:rPr>
          <w:rFonts w:hint="eastAsia" w:ascii="宋体" w:hAnsi="宋体" w:eastAsia="宋体" w:cs="宋体"/>
          <w:b w:val="0"/>
          <w:bCs w:val="0"/>
        </w:rPr>
        <w:t>七、 投标截止时间</w:t>
      </w:r>
      <w:r>
        <w:rPr>
          <w:b w:val="0"/>
          <w:bCs w:val="0"/>
        </w:rPr>
        <w:tab/>
      </w:r>
      <w:r>
        <w:rPr>
          <w:b w:val="0"/>
          <w:bCs w:val="0"/>
        </w:rPr>
        <w:fldChar w:fldCharType="begin"/>
      </w:r>
      <w:r>
        <w:rPr>
          <w:b w:val="0"/>
          <w:bCs w:val="0"/>
        </w:rPr>
        <w:instrText xml:space="preserve"> PAGEREF _Toc21207 \h </w:instrText>
      </w:r>
      <w:r>
        <w:rPr>
          <w:b w:val="0"/>
          <w:bCs w:val="0"/>
        </w:rPr>
        <w:fldChar w:fldCharType="separate"/>
      </w:r>
      <w:r>
        <w:rPr>
          <w:b w:val="0"/>
          <w:bCs w:val="0"/>
        </w:rPr>
        <w:t>5</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_Toc27526 </w:instrText>
      </w:r>
      <w:r>
        <w:rPr>
          <w:rFonts w:hint="eastAsia" w:ascii="宋体" w:hAnsi="宋体" w:eastAsia="宋体" w:cs="宋体"/>
          <w:b w:val="0"/>
          <w:bCs w:val="0"/>
          <w:szCs w:val="21"/>
        </w:rPr>
        <w:fldChar w:fldCharType="separate"/>
      </w:r>
      <w:r>
        <w:rPr>
          <w:rFonts w:hint="eastAsia" w:ascii="宋体" w:hAnsi="宋体" w:eastAsia="宋体" w:cs="宋体"/>
          <w:b w:val="0"/>
          <w:bCs w:val="0"/>
        </w:rPr>
        <w:t>八、 投标地点</w:t>
      </w:r>
      <w:r>
        <w:rPr>
          <w:b w:val="0"/>
          <w:bCs w:val="0"/>
        </w:rPr>
        <w:tab/>
      </w:r>
      <w:r>
        <w:rPr>
          <w:b w:val="0"/>
          <w:bCs w:val="0"/>
        </w:rPr>
        <w:fldChar w:fldCharType="begin"/>
      </w:r>
      <w:r>
        <w:rPr>
          <w:b w:val="0"/>
          <w:bCs w:val="0"/>
        </w:rPr>
        <w:instrText xml:space="preserve"> PAGEREF _Toc27526 \h </w:instrText>
      </w:r>
      <w:r>
        <w:rPr>
          <w:b w:val="0"/>
          <w:bCs w:val="0"/>
        </w:rPr>
        <w:fldChar w:fldCharType="separate"/>
      </w:r>
      <w:r>
        <w:rPr>
          <w:b w:val="0"/>
          <w:bCs w:val="0"/>
        </w:rPr>
        <w:t>5</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_Toc14488 </w:instrText>
      </w:r>
      <w:r>
        <w:rPr>
          <w:rFonts w:hint="eastAsia" w:ascii="宋体" w:hAnsi="宋体" w:eastAsia="宋体" w:cs="宋体"/>
          <w:b w:val="0"/>
          <w:bCs w:val="0"/>
          <w:szCs w:val="21"/>
        </w:rPr>
        <w:fldChar w:fldCharType="separate"/>
      </w:r>
      <w:r>
        <w:rPr>
          <w:rFonts w:hint="eastAsia" w:ascii="宋体" w:hAnsi="宋体" w:eastAsia="宋体" w:cs="宋体"/>
          <w:b w:val="0"/>
          <w:bCs w:val="0"/>
        </w:rPr>
        <w:t>九、 开标时间</w:t>
      </w:r>
      <w:r>
        <w:rPr>
          <w:b w:val="0"/>
          <w:bCs w:val="0"/>
        </w:rPr>
        <w:tab/>
      </w:r>
      <w:r>
        <w:rPr>
          <w:b w:val="0"/>
          <w:bCs w:val="0"/>
        </w:rPr>
        <w:fldChar w:fldCharType="begin"/>
      </w:r>
      <w:r>
        <w:rPr>
          <w:b w:val="0"/>
          <w:bCs w:val="0"/>
        </w:rPr>
        <w:instrText xml:space="preserve"> PAGEREF _Toc14488 \h </w:instrText>
      </w:r>
      <w:r>
        <w:rPr>
          <w:b w:val="0"/>
          <w:bCs w:val="0"/>
        </w:rPr>
        <w:fldChar w:fldCharType="separate"/>
      </w:r>
      <w:r>
        <w:rPr>
          <w:b w:val="0"/>
          <w:bCs w:val="0"/>
        </w:rPr>
        <w:t>5</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_Toc21807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 开标地点</w:t>
      </w:r>
      <w:r>
        <w:rPr>
          <w:b w:val="0"/>
          <w:bCs w:val="0"/>
        </w:rPr>
        <w:tab/>
      </w:r>
      <w:r>
        <w:rPr>
          <w:b w:val="0"/>
          <w:bCs w:val="0"/>
        </w:rPr>
        <w:fldChar w:fldCharType="begin"/>
      </w:r>
      <w:r>
        <w:rPr>
          <w:b w:val="0"/>
          <w:bCs w:val="0"/>
        </w:rPr>
        <w:instrText xml:space="preserve"> PAGEREF _Toc21807 \h </w:instrText>
      </w:r>
      <w:r>
        <w:rPr>
          <w:b w:val="0"/>
          <w:bCs w:val="0"/>
        </w:rPr>
        <w:fldChar w:fldCharType="separate"/>
      </w:r>
      <w:r>
        <w:rPr>
          <w:b w:val="0"/>
          <w:bCs w:val="0"/>
        </w:rPr>
        <w:t>5</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_Toc22640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十一、投标保证金</w:t>
      </w:r>
      <w:r>
        <w:rPr>
          <w:b w:val="0"/>
          <w:bCs w:val="0"/>
        </w:rPr>
        <w:tab/>
      </w:r>
      <w:r>
        <w:rPr>
          <w:b w:val="0"/>
          <w:bCs w:val="0"/>
        </w:rPr>
        <w:fldChar w:fldCharType="begin"/>
      </w:r>
      <w:r>
        <w:rPr>
          <w:b w:val="0"/>
          <w:bCs w:val="0"/>
        </w:rPr>
        <w:instrText xml:space="preserve"> PAGEREF _Toc22640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_Toc22095 </w:instrText>
      </w:r>
      <w:r>
        <w:rPr>
          <w:rFonts w:hint="eastAsia" w:ascii="宋体" w:hAnsi="宋体" w:eastAsia="宋体" w:cs="宋体"/>
          <w:b w:val="0"/>
          <w:bCs w:val="0"/>
          <w:szCs w:val="21"/>
        </w:rPr>
        <w:fldChar w:fldCharType="separate"/>
      </w:r>
      <w:r>
        <w:rPr>
          <w:rFonts w:hint="eastAsia" w:ascii="宋体" w:hAnsi="宋体" w:eastAsia="宋体" w:cs="宋体"/>
          <w:b w:val="0"/>
          <w:bCs w:val="0"/>
          <w:lang w:val="en-US" w:eastAsia="zh-CN"/>
        </w:rPr>
        <w:t>十二、</w:t>
      </w:r>
      <w:r>
        <w:rPr>
          <w:rFonts w:hint="eastAsia" w:ascii="宋体" w:hAnsi="宋体" w:eastAsia="宋体" w:cs="宋体"/>
          <w:b w:val="0"/>
          <w:bCs w:val="0"/>
        </w:rPr>
        <w:t>异议和投诉</w:t>
      </w:r>
      <w:r>
        <w:rPr>
          <w:b w:val="0"/>
          <w:bCs w:val="0"/>
        </w:rPr>
        <w:tab/>
      </w:r>
      <w:r>
        <w:rPr>
          <w:b w:val="0"/>
          <w:bCs w:val="0"/>
        </w:rPr>
        <w:fldChar w:fldCharType="begin"/>
      </w:r>
      <w:r>
        <w:rPr>
          <w:b w:val="0"/>
          <w:bCs w:val="0"/>
        </w:rPr>
        <w:instrText xml:space="preserve"> PAGEREF _Toc22095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_Toc19901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十三、其他事项</w:t>
      </w:r>
      <w:r>
        <w:rPr>
          <w:b w:val="0"/>
          <w:bCs w:val="0"/>
        </w:rPr>
        <w:tab/>
      </w:r>
      <w:r>
        <w:rPr>
          <w:b w:val="0"/>
          <w:bCs w:val="0"/>
        </w:rPr>
        <w:fldChar w:fldCharType="begin"/>
      </w:r>
      <w:r>
        <w:rPr>
          <w:b w:val="0"/>
          <w:bCs w:val="0"/>
        </w:rPr>
        <w:instrText xml:space="preserve"> PAGEREF _Toc19901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_Toc15486 </w:instrText>
      </w:r>
      <w:r>
        <w:rPr>
          <w:rFonts w:hint="eastAsia" w:ascii="宋体" w:hAnsi="宋体" w:eastAsia="宋体" w:cs="宋体"/>
          <w:b w:val="0"/>
          <w:bCs w:val="0"/>
          <w:szCs w:val="21"/>
        </w:rPr>
        <w:fldChar w:fldCharType="separate"/>
      </w:r>
      <w:r>
        <w:rPr>
          <w:rFonts w:hint="eastAsia" w:ascii="宋体" w:hAnsi="宋体" w:cs="宋体"/>
          <w:b w:val="0"/>
          <w:bCs w:val="0"/>
        </w:rPr>
        <w:t>十四、公告发布范围</w:t>
      </w:r>
      <w:r>
        <w:rPr>
          <w:b w:val="0"/>
          <w:bCs w:val="0"/>
        </w:rPr>
        <w:tab/>
      </w:r>
      <w:r>
        <w:rPr>
          <w:b w:val="0"/>
          <w:bCs w:val="0"/>
        </w:rPr>
        <w:fldChar w:fldCharType="begin"/>
      </w:r>
      <w:r>
        <w:rPr>
          <w:b w:val="0"/>
          <w:bCs w:val="0"/>
        </w:rPr>
        <w:instrText xml:space="preserve"> PAGEREF _Toc15486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_Toc14475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十五、联系方式</w:t>
      </w:r>
      <w:r>
        <w:rPr>
          <w:b w:val="0"/>
          <w:bCs w:val="0"/>
        </w:rPr>
        <w:tab/>
      </w:r>
      <w:r>
        <w:rPr>
          <w:b w:val="0"/>
          <w:bCs w:val="0"/>
        </w:rPr>
        <w:fldChar w:fldCharType="begin"/>
      </w:r>
      <w:r>
        <w:rPr>
          <w:b w:val="0"/>
          <w:bCs w:val="0"/>
        </w:rPr>
        <w:instrText xml:space="preserve"> PAGEREF _Toc14475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1"/>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_Toc21800 </w:instrText>
      </w:r>
      <w:r>
        <w:rPr>
          <w:rFonts w:hint="eastAsia" w:ascii="宋体" w:hAnsi="宋体" w:eastAsia="宋体" w:cs="宋体"/>
          <w:b/>
          <w:bCs/>
          <w:szCs w:val="21"/>
        </w:rPr>
        <w:fldChar w:fldCharType="separate"/>
      </w:r>
      <w:r>
        <w:rPr>
          <w:rFonts w:hint="eastAsia" w:ascii="黑体" w:hAnsi="黑体" w:cs="黑体"/>
          <w:b/>
          <w:bCs/>
        </w:rPr>
        <w:t>第二章  投标人须知</w:t>
      </w:r>
      <w:r>
        <w:rPr>
          <w:b/>
          <w:bCs/>
        </w:rPr>
        <w:tab/>
      </w:r>
      <w:r>
        <w:rPr>
          <w:b/>
          <w:bCs/>
        </w:rPr>
        <w:fldChar w:fldCharType="begin"/>
      </w:r>
      <w:r>
        <w:rPr>
          <w:b/>
          <w:bCs/>
        </w:rPr>
        <w:instrText xml:space="preserve"> PAGEREF _Toc21800 \h </w:instrText>
      </w:r>
      <w:r>
        <w:rPr>
          <w:b/>
          <w:bCs/>
        </w:rPr>
        <w:fldChar w:fldCharType="separate"/>
      </w:r>
      <w:r>
        <w:rPr>
          <w:b/>
          <w:bCs/>
        </w:rPr>
        <w:t>8</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_Toc20469 </w:instrText>
      </w:r>
      <w:r>
        <w:rPr>
          <w:rFonts w:hint="eastAsia" w:ascii="宋体" w:hAnsi="宋体" w:eastAsia="宋体" w:cs="宋体"/>
          <w:b w:val="0"/>
          <w:bCs w:val="0"/>
          <w:szCs w:val="21"/>
        </w:rPr>
        <w:fldChar w:fldCharType="separate"/>
      </w:r>
      <w:r>
        <w:rPr>
          <w:rFonts w:hint="eastAsia" w:ascii="宋体" w:hAnsi="宋体" w:cs="宋体"/>
          <w:b w:val="0"/>
          <w:bCs w:val="0"/>
        </w:rPr>
        <w:t>投标人须知前附表</w:t>
      </w:r>
      <w:r>
        <w:rPr>
          <w:b w:val="0"/>
          <w:bCs w:val="0"/>
        </w:rPr>
        <w:tab/>
      </w:r>
      <w:r>
        <w:rPr>
          <w:b w:val="0"/>
          <w:bCs w:val="0"/>
        </w:rPr>
        <w:fldChar w:fldCharType="begin"/>
      </w:r>
      <w:r>
        <w:rPr>
          <w:b w:val="0"/>
          <w:bCs w:val="0"/>
        </w:rPr>
        <w:instrText xml:space="preserve"> PAGEREF _Toc20469 \h </w:instrText>
      </w:r>
      <w:r>
        <w:rPr>
          <w:b w:val="0"/>
          <w:bCs w:val="0"/>
        </w:rPr>
        <w:fldChar w:fldCharType="separate"/>
      </w:r>
      <w:r>
        <w:rPr>
          <w:b w:val="0"/>
          <w:bCs w:val="0"/>
        </w:rPr>
        <w:t>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_Toc9425 </w:instrText>
      </w:r>
      <w:r>
        <w:rPr>
          <w:rFonts w:hint="eastAsia" w:ascii="宋体" w:hAnsi="宋体" w:eastAsia="宋体" w:cs="宋体"/>
          <w:b w:val="0"/>
          <w:bCs w:val="0"/>
          <w:szCs w:val="21"/>
        </w:rPr>
        <w:fldChar w:fldCharType="separate"/>
      </w:r>
      <w:r>
        <w:rPr>
          <w:rFonts w:hint="eastAsia" w:ascii="宋体" w:hAnsi="宋体" w:cs="宋体"/>
          <w:b w:val="0"/>
          <w:bCs w:val="0"/>
        </w:rPr>
        <w:t>一、总则</w:t>
      </w:r>
      <w:r>
        <w:rPr>
          <w:b w:val="0"/>
          <w:bCs w:val="0"/>
        </w:rPr>
        <w:tab/>
      </w:r>
      <w:r>
        <w:rPr>
          <w:b w:val="0"/>
          <w:bCs w:val="0"/>
        </w:rPr>
        <w:fldChar w:fldCharType="begin"/>
      </w:r>
      <w:r>
        <w:rPr>
          <w:b w:val="0"/>
          <w:bCs w:val="0"/>
        </w:rPr>
        <w:instrText xml:space="preserve"> PAGEREF _Toc9425 \h </w:instrText>
      </w:r>
      <w:r>
        <w:rPr>
          <w:b w:val="0"/>
          <w:bCs w:val="0"/>
        </w:rPr>
        <w:fldChar w:fldCharType="separate"/>
      </w:r>
      <w:r>
        <w:rPr>
          <w:b w:val="0"/>
          <w:bCs w:val="0"/>
        </w:rPr>
        <w:t>10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_Toc28898 </w:instrText>
      </w:r>
      <w:r>
        <w:rPr>
          <w:rFonts w:hint="eastAsia" w:ascii="宋体" w:hAnsi="宋体" w:eastAsia="宋体" w:cs="宋体"/>
          <w:b w:val="0"/>
          <w:bCs w:val="0"/>
          <w:szCs w:val="21"/>
        </w:rPr>
        <w:fldChar w:fldCharType="separate"/>
      </w:r>
      <w:r>
        <w:rPr>
          <w:rFonts w:hint="eastAsia" w:ascii="宋体" w:hAnsi="宋体" w:cs="宋体"/>
          <w:b w:val="0"/>
          <w:bCs w:val="0"/>
          <w:highlight w:val="none"/>
        </w:rPr>
        <w:t>二、招标文件</w:t>
      </w:r>
      <w:r>
        <w:rPr>
          <w:b w:val="0"/>
          <w:bCs w:val="0"/>
        </w:rPr>
        <w:tab/>
      </w:r>
      <w:r>
        <w:rPr>
          <w:b w:val="0"/>
          <w:bCs w:val="0"/>
        </w:rPr>
        <w:fldChar w:fldCharType="begin"/>
      </w:r>
      <w:r>
        <w:rPr>
          <w:b w:val="0"/>
          <w:bCs w:val="0"/>
        </w:rPr>
        <w:instrText xml:space="preserve"> PAGEREF _Toc28898 \h </w:instrText>
      </w:r>
      <w:r>
        <w:rPr>
          <w:b w:val="0"/>
          <w:bCs w:val="0"/>
        </w:rPr>
        <w:fldChar w:fldCharType="separate"/>
      </w:r>
      <w:r>
        <w:rPr>
          <w:b w:val="0"/>
          <w:bCs w:val="0"/>
        </w:rPr>
        <w:t>10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_Toc7537 </w:instrText>
      </w:r>
      <w:r>
        <w:rPr>
          <w:rFonts w:hint="eastAsia" w:ascii="宋体" w:hAnsi="宋体" w:eastAsia="宋体" w:cs="宋体"/>
          <w:b w:val="0"/>
          <w:bCs w:val="0"/>
          <w:szCs w:val="21"/>
        </w:rPr>
        <w:fldChar w:fldCharType="separate"/>
      </w:r>
      <w:r>
        <w:rPr>
          <w:rFonts w:hint="eastAsia" w:ascii="宋体" w:hAnsi="宋体" w:cs="宋体"/>
          <w:b w:val="0"/>
          <w:bCs w:val="0"/>
        </w:rPr>
        <w:t>三、投标文件的编制</w:t>
      </w:r>
      <w:r>
        <w:rPr>
          <w:b w:val="0"/>
          <w:bCs w:val="0"/>
        </w:rPr>
        <w:tab/>
      </w:r>
      <w:r>
        <w:rPr>
          <w:b w:val="0"/>
          <w:bCs w:val="0"/>
        </w:rPr>
        <w:fldChar w:fldCharType="begin"/>
      </w:r>
      <w:r>
        <w:rPr>
          <w:b w:val="0"/>
          <w:bCs w:val="0"/>
        </w:rPr>
        <w:instrText xml:space="preserve"> PAGEREF _Toc7537 \h </w:instrText>
      </w:r>
      <w:r>
        <w:rPr>
          <w:b w:val="0"/>
          <w:bCs w:val="0"/>
        </w:rPr>
        <w:fldChar w:fldCharType="separate"/>
      </w:r>
      <w:r>
        <w:rPr>
          <w:b w:val="0"/>
          <w:bCs w:val="0"/>
        </w:rPr>
        <w:t>11</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_Toc21358 </w:instrText>
      </w:r>
      <w:r>
        <w:rPr>
          <w:rFonts w:hint="eastAsia" w:ascii="宋体" w:hAnsi="宋体" w:eastAsia="宋体" w:cs="宋体"/>
          <w:b w:val="0"/>
          <w:bCs w:val="0"/>
          <w:szCs w:val="21"/>
        </w:rPr>
        <w:fldChar w:fldCharType="separate"/>
      </w:r>
      <w:r>
        <w:rPr>
          <w:rFonts w:hint="eastAsia" w:ascii="宋体" w:hAnsi="宋体" w:cs="宋体"/>
          <w:b w:val="0"/>
          <w:bCs w:val="0"/>
        </w:rPr>
        <w:t>四、投标文件的递交</w:t>
      </w:r>
      <w:r>
        <w:rPr>
          <w:b w:val="0"/>
          <w:bCs w:val="0"/>
        </w:rPr>
        <w:tab/>
      </w:r>
      <w:r>
        <w:rPr>
          <w:b w:val="0"/>
          <w:bCs w:val="0"/>
        </w:rPr>
        <w:fldChar w:fldCharType="begin"/>
      </w:r>
      <w:r>
        <w:rPr>
          <w:b w:val="0"/>
          <w:bCs w:val="0"/>
        </w:rPr>
        <w:instrText xml:space="preserve"> PAGEREF _Toc21358 \h </w:instrText>
      </w:r>
      <w:r>
        <w:rPr>
          <w:b w:val="0"/>
          <w:bCs w:val="0"/>
        </w:rPr>
        <w:fldChar w:fldCharType="separate"/>
      </w:r>
      <w:r>
        <w:rPr>
          <w:b w:val="0"/>
          <w:bCs w:val="0"/>
        </w:rPr>
        <w:t>15</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_Toc29872 </w:instrText>
      </w:r>
      <w:r>
        <w:rPr>
          <w:rFonts w:hint="eastAsia" w:ascii="宋体" w:hAnsi="宋体" w:eastAsia="宋体" w:cs="宋体"/>
          <w:b w:val="0"/>
          <w:bCs w:val="0"/>
          <w:szCs w:val="21"/>
        </w:rPr>
        <w:fldChar w:fldCharType="separate"/>
      </w:r>
      <w:r>
        <w:rPr>
          <w:rFonts w:hint="eastAsia" w:ascii="宋体" w:hAnsi="宋体" w:cs="宋体"/>
          <w:b w:val="0"/>
          <w:bCs w:val="0"/>
        </w:rPr>
        <w:t>五、开标与评标</w:t>
      </w:r>
      <w:r>
        <w:rPr>
          <w:b w:val="0"/>
          <w:bCs w:val="0"/>
        </w:rPr>
        <w:tab/>
      </w:r>
      <w:r>
        <w:rPr>
          <w:b w:val="0"/>
          <w:bCs w:val="0"/>
        </w:rPr>
        <w:fldChar w:fldCharType="begin"/>
      </w:r>
      <w:r>
        <w:rPr>
          <w:b w:val="0"/>
          <w:bCs w:val="0"/>
        </w:rPr>
        <w:instrText xml:space="preserve"> PAGEREF _Toc29872 \h </w:instrText>
      </w:r>
      <w:r>
        <w:rPr>
          <w:b w:val="0"/>
          <w:bCs w:val="0"/>
        </w:rPr>
        <w:fldChar w:fldCharType="separate"/>
      </w:r>
      <w:r>
        <w:rPr>
          <w:b w:val="0"/>
          <w:bCs w:val="0"/>
        </w:rPr>
        <w:t>17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_Toc9392 </w:instrText>
      </w:r>
      <w:r>
        <w:rPr>
          <w:rFonts w:hint="eastAsia" w:ascii="宋体" w:hAnsi="宋体" w:eastAsia="宋体" w:cs="宋体"/>
          <w:b w:val="0"/>
          <w:bCs w:val="0"/>
          <w:szCs w:val="21"/>
        </w:rPr>
        <w:fldChar w:fldCharType="separate"/>
      </w:r>
      <w:r>
        <w:rPr>
          <w:rFonts w:hint="eastAsia" w:ascii="宋体" w:hAnsi="宋体" w:cs="宋体"/>
          <w:b w:val="0"/>
          <w:bCs w:val="0"/>
        </w:rPr>
        <w:t>六、确定中标人及授予合同</w:t>
      </w:r>
      <w:r>
        <w:rPr>
          <w:b w:val="0"/>
          <w:bCs w:val="0"/>
        </w:rPr>
        <w:tab/>
      </w:r>
      <w:r>
        <w:rPr>
          <w:b w:val="0"/>
          <w:bCs w:val="0"/>
        </w:rPr>
        <w:fldChar w:fldCharType="begin"/>
      </w:r>
      <w:r>
        <w:rPr>
          <w:b w:val="0"/>
          <w:bCs w:val="0"/>
        </w:rPr>
        <w:instrText xml:space="preserve"> PAGEREF _Toc9392 \h </w:instrText>
      </w:r>
      <w:r>
        <w:rPr>
          <w:b w:val="0"/>
          <w:bCs w:val="0"/>
        </w:rPr>
        <w:fldChar w:fldCharType="separate"/>
      </w:r>
      <w:r>
        <w:rPr>
          <w:b w:val="0"/>
          <w:bCs w:val="0"/>
        </w:rPr>
        <w:t>18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1"/>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_Toc269 </w:instrText>
      </w:r>
      <w:r>
        <w:rPr>
          <w:rFonts w:hint="eastAsia" w:ascii="宋体" w:hAnsi="宋体" w:eastAsia="宋体" w:cs="宋体"/>
          <w:b/>
          <w:bCs/>
          <w:szCs w:val="21"/>
        </w:rPr>
        <w:fldChar w:fldCharType="separate"/>
      </w:r>
      <w:r>
        <w:rPr>
          <w:rFonts w:hint="eastAsia"/>
          <w:b/>
          <w:bCs/>
        </w:rPr>
        <w:t>第三章</w:t>
      </w:r>
      <w:r>
        <w:rPr>
          <w:rFonts w:hint="eastAsia"/>
          <w:b/>
          <w:bCs/>
          <w:lang w:val="en-US"/>
        </w:rPr>
        <w:t xml:space="preserve"> </w:t>
      </w:r>
      <w:r>
        <w:rPr>
          <w:rFonts w:hint="eastAsia"/>
          <w:b/>
          <w:bCs/>
        </w:rPr>
        <w:t>采购合同的一般和特殊条款</w:t>
      </w:r>
      <w:r>
        <w:rPr>
          <w:b/>
          <w:bCs/>
        </w:rPr>
        <w:tab/>
      </w:r>
      <w:r>
        <w:rPr>
          <w:b/>
          <w:bCs/>
        </w:rPr>
        <w:fldChar w:fldCharType="begin"/>
      </w:r>
      <w:r>
        <w:rPr>
          <w:b/>
          <w:bCs/>
        </w:rPr>
        <w:instrText xml:space="preserve"> PAGEREF _Toc269 \h </w:instrText>
      </w:r>
      <w:r>
        <w:rPr>
          <w:b/>
          <w:bCs/>
        </w:rPr>
        <w:fldChar w:fldCharType="separate"/>
      </w:r>
      <w:r>
        <w:rPr>
          <w:b/>
          <w:bCs/>
        </w:rPr>
        <w:t>21</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1"/>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_Toc28621 </w:instrText>
      </w:r>
      <w:r>
        <w:rPr>
          <w:rFonts w:hint="eastAsia" w:ascii="宋体" w:hAnsi="宋体" w:eastAsia="宋体" w:cs="宋体"/>
          <w:b/>
          <w:bCs/>
          <w:szCs w:val="21"/>
        </w:rPr>
        <w:fldChar w:fldCharType="separate"/>
      </w:r>
      <w:r>
        <w:rPr>
          <w:rFonts w:hint="eastAsia"/>
          <w:b/>
          <w:bCs/>
          <w:highlight w:val="none"/>
        </w:rPr>
        <w:t>第四章  用户需求</w:t>
      </w:r>
      <w:r>
        <w:rPr>
          <w:b/>
          <w:bCs/>
        </w:rPr>
        <w:tab/>
      </w:r>
      <w:r>
        <w:rPr>
          <w:b/>
          <w:bCs/>
        </w:rPr>
        <w:fldChar w:fldCharType="begin"/>
      </w:r>
      <w:r>
        <w:rPr>
          <w:b/>
          <w:bCs/>
        </w:rPr>
        <w:instrText xml:space="preserve"> PAGEREF _Toc28621 \h </w:instrText>
      </w:r>
      <w:r>
        <w:rPr>
          <w:b/>
          <w:bCs/>
        </w:rPr>
        <w:fldChar w:fldCharType="separate"/>
      </w:r>
      <w:r>
        <w:rPr>
          <w:b/>
          <w:bCs/>
        </w:rPr>
        <w:t>28</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_Toc32054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一、 项目概况</w:t>
      </w:r>
      <w:r>
        <w:rPr>
          <w:b w:val="0"/>
          <w:bCs w:val="0"/>
        </w:rPr>
        <w:tab/>
      </w:r>
      <w:r>
        <w:rPr>
          <w:b w:val="0"/>
          <w:bCs w:val="0"/>
        </w:rPr>
        <w:fldChar w:fldCharType="begin"/>
      </w:r>
      <w:r>
        <w:rPr>
          <w:b w:val="0"/>
          <w:bCs w:val="0"/>
        </w:rPr>
        <w:instrText xml:space="preserve"> PAGEREF _Toc32054 \h </w:instrText>
      </w:r>
      <w:r>
        <w:rPr>
          <w:b w:val="0"/>
          <w:bCs w:val="0"/>
        </w:rPr>
        <w:fldChar w:fldCharType="separate"/>
      </w:r>
      <w:r>
        <w:rPr>
          <w:b w:val="0"/>
          <w:bCs w:val="0"/>
        </w:rPr>
        <w:t>28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_Toc19222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二、 技术要求</w:t>
      </w:r>
      <w:r>
        <w:rPr>
          <w:b w:val="0"/>
          <w:bCs w:val="0"/>
        </w:rPr>
        <w:tab/>
      </w:r>
      <w:r>
        <w:rPr>
          <w:b w:val="0"/>
          <w:bCs w:val="0"/>
        </w:rPr>
        <w:fldChar w:fldCharType="begin"/>
      </w:r>
      <w:r>
        <w:rPr>
          <w:b w:val="0"/>
          <w:bCs w:val="0"/>
        </w:rPr>
        <w:instrText xml:space="preserve"> PAGEREF _Toc19222 \h </w:instrText>
      </w:r>
      <w:r>
        <w:rPr>
          <w:b w:val="0"/>
          <w:bCs w:val="0"/>
        </w:rPr>
        <w:fldChar w:fldCharType="separate"/>
      </w:r>
      <w:r>
        <w:rPr>
          <w:b w:val="0"/>
          <w:bCs w:val="0"/>
        </w:rPr>
        <w:t>28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_Toc31256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三、 商务要求</w:t>
      </w:r>
      <w:r>
        <w:rPr>
          <w:b w:val="0"/>
          <w:bCs w:val="0"/>
        </w:rPr>
        <w:tab/>
      </w:r>
      <w:r>
        <w:rPr>
          <w:b w:val="0"/>
          <w:bCs w:val="0"/>
        </w:rPr>
        <w:fldChar w:fldCharType="begin"/>
      </w:r>
      <w:r>
        <w:rPr>
          <w:b w:val="0"/>
          <w:bCs w:val="0"/>
        </w:rPr>
        <w:instrText xml:space="preserve"> PAGEREF _Toc31256 \h </w:instrText>
      </w:r>
      <w:r>
        <w:rPr>
          <w:b w:val="0"/>
          <w:bCs w:val="0"/>
        </w:rPr>
        <w:fldChar w:fldCharType="separate"/>
      </w:r>
      <w:r>
        <w:rPr>
          <w:b w:val="0"/>
          <w:bCs w:val="0"/>
        </w:rPr>
        <w:t>29</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1"/>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_Toc23655 </w:instrText>
      </w:r>
      <w:r>
        <w:rPr>
          <w:rFonts w:hint="eastAsia" w:ascii="宋体" w:hAnsi="宋体" w:eastAsia="宋体" w:cs="宋体"/>
          <w:b/>
          <w:bCs/>
          <w:szCs w:val="21"/>
        </w:rPr>
        <w:fldChar w:fldCharType="separate"/>
      </w:r>
      <w:r>
        <w:rPr>
          <w:rFonts w:hint="eastAsia"/>
          <w:b/>
          <w:bCs/>
        </w:rPr>
        <w:t>第五章  评标办法</w:t>
      </w:r>
      <w:r>
        <w:rPr>
          <w:b/>
          <w:bCs/>
        </w:rPr>
        <w:tab/>
      </w:r>
      <w:r>
        <w:rPr>
          <w:b/>
          <w:bCs/>
        </w:rPr>
        <w:fldChar w:fldCharType="begin"/>
      </w:r>
      <w:r>
        <w:rPr>
          <w:b/>
          <w:bCs/>
        </w:rPr>
        <w:instrText xml:space="preserve"> PAGEREF _Toc23655 \h </w:instrText>
      </w:r>
      <w:r>
        <w:rPr>
          <w:b/>
          <w:bCs/>
        </w:rPr>
        <w:fldChar w:fldCharType="separate"/>
      </w:r>
      <w:r>
        <w:rPr>
          <w:b/>
          <w:bCs/>
        </w:rPr>
        <w:t>32</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_Toc6887 </w:instrText>
      </w:r>
      <w:r>
        <w:rPr>
          <w:rFonts w:hint="eastAsia" w:ascii="宋体" w:hAnsi="宋体" w:eastAsia="宋体" w:cs="宋体"/>
          <w:b w:val="0"/>
          <w:bCs w:val="0"/>
          <w:szCs w:val="21"/>
        </w:rPr>
        <w:fldChar w:fldCharType="separate"/>
      </w:r>
      <w:r>
        <w:rPr>
          <w:rFonts w:hint="eastAsia" w:ascii="宋体" w:hAnsi="宋体" w:cs="宋体"/>
          <w:b w:val="0"/>
          <w:bCs w:val="0"/>
        </w:rPr>
        <w:t>一、总则</w:t>
      </w:r>
      <w:r>
        <w:rPr>
          <w:b w:val="0"/>
          <w:bCs w:val="0"/>
        </w:rPr>
        <w:tab/>
      </w:r>
      <w:r>
        <w:rPr>
          <w:b w:val="0"/>
          <w:bCs w:val="0"/>
        </w:rPr>
        <w:fldChar w:fldCharType="begin"/>
      </w:r>
      <w:r>
        <w:rPr>
          <w:b w:val="0"/>
          <w:bCs w:val="0"/>
        </w:rPr>
        <w:instrText xml:space="preserve"> PAGEREF _Toc6887 \h </w:instrText>
      </w:r>
      <w:r>
        <w:rPr>
          <w:b w:val="0"/>
          <w:bCs w:val="0"/>
        </w:rPr>
        <w:fldChar w:fldCharType="separate"/>
      </w:r>
      <w:r>
        <w:rPr>
          <w:b w:val="0"/>
          <w:bCs w:val="0"/>
        </w:rPr>
        <w:t>32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_Toc21710 </w:instrText>
      </w:r>
      <w:r>
        <w:rPr>
          <w:rFonts w:hint="eastAsia" w:ascii="宋体" w:hAnsi="宋体" w:eastAsia="宋体" w:cs="宋体"/>
          <w:b w:val="0"/>
          <w:bCs w:val="0"/>
          <w:szCs w:val="21"/>
        </w:rPr>
        <w:fldChar w:fldCharType="separate"/>
      </w:r>
      <w:r>
        <w:rPr>
          <w:rFonts w:hint="eastAsia" w:ascii="宋体" w:hAnsi="宋体" w:cs="宋体"/>
          <w:b w:val="0"/>
          <w:bCs w:val="0"/>
        </w:rPr>
        <w:t>二、评标组织</w:t>
      </w:r>
      <w:r>
        <w:rPr>
          <w:b w:val="0"/>
          <w:bCs w:val="0"/>
        </w:rPr>
        <w:tab/>
      </w:r>
      <w:r>
        <w:rPr>
          <w:b w:val="0"/>
          <w:bCs w:val="0"/>
        </w:rPr>
        <w:fldChar w:fldCharType="begin"/>
      </w:r>
      <w:r>
        <w:rPr>
          <w:b w:val="0"/>
          <w:bCs w:val="0"/>
        </w:rPr>
        <w:instrText xml:space="preserve"> PAGEREF _Toc21710 \h </w:instrText>
      </w:r>
      <w:r>
        <w:rPr>
          <w:b w:val="0"/>
          <w:bCs w:val="0"/>
        </w:rPr>
        <w:fldChar w:fldCharType="separate"/>
      </w:r>
      <w:r>
        <w:rPr>
          <w:b w:val="0"/>
          <w:bCs w:val="0"/>
        </w:rPr>
        <w:t>32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_Toc5587 </w:instrText>
      </w:r>
      <w:r>
        <w:rPr>
          <w:rFonts w:hint="eastAsia" w:ascii="宋体" w:hAnsi="宋体" w:eastAsia="宋体" w:cs="宋体"/>
          <w:b w:val="0"/>
          <w:bCs w:val="0"/>
          <w:szCs w:val="21"/>
        </w:rPr>
        <w:fldChar w:fldCharType="separate"/>
      </w:r>
      <w:r>
        <w:rPr>
          <w:rFonts w:hint="eastAsia" w:ascii="宋体" w:hAnsi="宋体" w:cs="宋体"/>
          <w:b w:val="0"/>
          <w:bCs w:val="0"/>
        </w:rPr>
        <w:t>三、评标纪律</w:t>
      </w:r>
      <w:r>
        <w:rPr>
          <w:b w:val="0"/>
          <w:bCs w:val="0"/>
        </w:rPr>
        <w:tab/>
      </w:r>
      <w:r>
        <w:rPr>
          <w:b w:val="0"/>
          <w:bCs w:val="0"/>
        </w:rPr>
        <w:fldChar w:fldCharType="begin"/>
      </w:r>
      <w:r>
        <w:rPr>
          <w:b w:val="0"/>
          <w:bCs w:val="0"/>
        </w:rPr>
        <w:instrText xml:space="preserve"> PAGEREF _Toc5587 \h </w:instrText>
      </w:r>
      <w:r>
        <w:rPr>
          <w:b w:val="0"/>
          <w:bCs w:val="0"/>
        </w:rPr>
        <w:fldChar w:fldCharType="separate"/>
      </w:r>
      <w:r>
        <w:rPr>
          <w:b w:val="0"/>
          <w:bCs w:val="0"/>
        </w:rPr>
        <w:t>32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_Toc22980 </w:instrText>
      </w:r>
      <w:r>
        <w:rPr>
          <w:rFonts w:hint="eastAsia" w:ascii="宋体" w:hAnsi="宋体" w:eastAsia="宋体" w:cs="宋体"/>
          <w:b w:val="0"/>
          <w:bCs w:val="0"/>
          <w:szCs w:val="21"/>
        </w:rPr>
        <w:fldChar w:fldCharType="separate"/>
      </w:r>
      <w:r>
        <w:rPr>
          <w:rFonts w:hint="eastAsia" w:ascii="宋体" w:hAnsi="宋体" w:cs="宋体"/>
          <w:b w:val="0"/>
          <w:bCs w:val="0"/>
        </w:rPr>
        <w:t>四、评标程序</w:t>
      </w:r>
      <w:r>
        <w:rPr>
          <w:b w:val="0"/>
          <w:bCs w:val="0"/>
        </w:rPr>
        <w:tab/>
      </w:r>
      <w:r>
        <w:rPr>
          <w:b w:val="0"/>
          <w:bCs w:val="0"/>
        </w:rPr>
        <w:fldChar w:fldCharType="begin"/>
      </w:r>
      <w:r>
        <w:rPr>
          <w:b w:val="0"/>
          <w:bCs w:val="0"/>
        </w:rPr>
        <w:instrText xml:space="preserve"> PAGEREF _Toc22980 \h </w:instrText>
      </w:r>
      <w:r>
        <w:rPr>
          <w:b w:val="0"/>
          <w:bCs w:val="0"/>
        </w:rPr>
        <w:fldChar w:fldCharType="separate"/>
      </w:r>
      <w:r>
        <w:rPr>
          <w:b w:val="0"/>
          <w:bCs w:val="0"/>
        </w:rPr>
        <w:t>33</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_Toc16228 </w:instrText>
      </w:r>
      <w:r>
        <w:rPr>
          <w:rFonts w:hint="eastAsia" w:ascii="宋体" w:hAnsi="宋体" w:eastAsia="宋体" w:cs="宋体"/>
          <w:b w:val="0"/>
          <w:bCs w:val="0"/>
          <w:szCs w:val="21"/>
        </w:rPr>
        <w:fldChar w:fldCharType="separate"/>
      </w:r>
      <w:r>
        <w:rPr>
          <w:rFonts w:hint="eastAsia" w:ascii="宋体" w:hAnsi="宋体" w:cs="宋体"/>
          <w:b w:val="0"/>
          <w:bCs w:val="0"/>
        </w:rPr>
        <w:t>五、评标细则及标准</w:t>
      </w:r>
      <w:r>
        <w:rPr>
          <w:b w:val="0"/>
          <w:bCs w:val="0"/>
        </w:rPr>
        <w:tab/>
      </w:r>
      <w:r>
        <w:rPr>
          <w:b w:val="0"/>
          <w:bCs w:val="0"/>
        </w:rPr>
        <w:fldChar w:fldCharType="begin"/>
      </w:r>
      <w:r>
        <w:rPr>
          <w:b w:val="0"/>
          <w:bCs w:val="0"/>
        </w:rPr>
        <w:instrText xml:space="preserve"> PAGEREF _Toc16228 \h </w:instrText>
      </w:r>
      <w:r>
        <w:rPr>
          <w:b w:val="0"/>
          <w:bCs w:val="0"/>
        </w:rPr>
        <w:fldChar w:fldCharType="separate"/>
      </w:r>
      <w:r>
        <w:rPr>
          <w:b w:val="0"/>
          <w:bCs w:val="0"/>
        </w:rPr>
        <w:t>34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1"/>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_Toc26329 </w:instrText>
      </w:r>
      <w:r>
        <w:rPr>
          <w:rFonts w:hint="eastAsia" w:ascii="宋体" w:hAnsi="宋体" w:eastAsia="宋体" w:cs="宋体"/>
          <w:b/>
          <w:bCs/>
          <w:szCs w:val="21"/>
        </w:rPr>
        <w:fldChar w:fldCharType="separate"/>
      </w:r>
      <w:r>
        <w:rPr>
          <w:rFonts w:hint="eastAsia"/>
          <w:b/>
          <w:bCs/>
        </w:rPr>
        <w:t>第六章  投标文件格式</w:t>
      </w:r>
      <w:r>
        <w:rPr>
          <w:b/>
          <w:bCs/>
        </w:rPr>
        <w:tab/>
      </w:r>
      <w:r>
        <w:rPr>
          <w:b/>
          <w:bCs/>
        </w:rPr>
        <w:fldChar w:fldCharType="begin"/>
      </w:r>
      <w:r>
        <w:rPr>
          <w:b/>
          <w:bCs/>
        </w:rPr>
        <w:instrText xml:space="preserve"> PAGEREF _Toc26329 \h </w:instrText>
      </w:r>
      <w:r>
        <w:rPr>
          <w:b/>
          <w:bCs/>
        </w:rPr>
        <w:fldChar w:fldCharType="separate"/>
      </w:r>
      <w:r>
        <w:rPr>
          <w:b/>
          <w:bCs/>
        </w:rPr>
        <w:t>41</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_Toc24937 </w:instrText>
      </w:r>
      <w:r>
        <w:rPr>
          <w:rFonts w:hint="eastAsia" w:ascii="宋体" w:hAnsi="宋体" w:eastAsia="宋体" w:cs="宋体"/>
          <w:b w:val="0"/>
          <w:bCs w:val="0"/>
          <w:szCs w:val="21"/>
        </w:rPr>
        <w:fldChar w:fldCharType="separate"/>
      </w:r>
      <w:r>
        <w:rPr>
          <w:rFonts w:hint="eastAsia" w:ascii="宋体" w:hAnsi="宋体" w:cs="宋体"/>
          <w:b w:val="0"/>
          <w:bCs w:val="0"/>
        </w:rPr>
        <w:t>一、 投标文件封面</w:t>
      </w:r>
      <w:r>
        <w:rPr>
          <w:b w:val="0"/>
          <w:bCs w:val="0"/>
        </w:rPr>
        <w:tab/>
      </w:r>
      <w:r>
        <w:rPr>
          <w:b w:val="0"/>
          <w:bCs w:val="0"/>
        </w:rPr>
        <w:fldChar w:fldCharType="begin"/>
      </w:r>
      <w:r>
        <w:rPr>
          <w:b w:val="0"/>
          <w:bCs w:val="0"/>
        </w:rPr>
        <w:instrText xml:space="preserve"> PAGEREF _Toc24937 \h </w:instrText>
      </w:r>
      <w:r>
        <w:rPr>
          <w:b w:val="0"/>
          <w:bCs w:val="0"/>
        </w:rPr>
        <w:fldChar w:fldCharType="separate"/>
      </w:r>
      <w:r>
        <w:rPr>
          <w:b w:val="0"/>
          <w:bCs w:val="0"/>
        </w:rPr>
        <w:t>42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_Toc28957 </w:instrText>
      </w:r>
      <w:r>
        <w:rPr>
          <w:rFonts w:hint="eastAsia" w:ascii="宋体" w:hAnsi="宋体" w:eastAsia="宋体" w:cs="宋体"/>
          <w:b w:val="0"/>
          <w:bCs w:val="0"/>
          <w:szCs w:val="21"/>
        </w:rPr>
        <w:fldChar w:fldCharType="separate"/>
      </w:r>
      <w:r>
        <w:rPr>
          <w:rFonts w:hint="eastAsia" w:ascii="宋体" w:hAnsi="宋体" w:cs="宋体"/>
          <w:b w:val="0"/>
          <w:bCs w:val="0"/>
        </w:rPr>
        <w:t>二、 报价文件</w:t>
      </w:r>
      <w:r>
        <w:rPr>
          <w:b w:val="0"/>
          <w:bCs w:val="0"/>
        </w:rPr>
        <w:tab/>
      </w:r>
      <w:r>
        <w:rPr>
          <w:b w:val="0"/>
          <w:bCs w:val="0"/>
        </w:rPr>
        <w:fldChar w:fldCharType="begin"/>
      </w:r>
      <w:r>
        <w:rPr>
          <w:b w:val="0"/>
          <w:bCs w:val="0"/>
        </w:rPr>
        <w:instrText xml:space="preserve"> PAGEREF _Toc28957 \h </w:instrText>
      </w:r>
      <w:r>
        <w:rPr>
          <w:b w:val="0"/>
          <w:bCs w:val="0"/>
        </w:rPr>
        <w:fldChar w:fldCharType="separate"/>
      </w:r>
      <w:r>
        <w:rPr>
          <w:b w:val="0"/>
          <w:bCs w:val="0"/>
        </w:rPr>
        <w:t>44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_Toc3399 </w:instrText>
      </w:r>
      <w:r>
        <w:rPr>
          <w:rFonts w:hint="eastAsia" w:ascii="宋体" w:hAnsi="宋体" w:eastAsia="宋体" w:cs="宋体"/>
          <w:b w:val="0"/>
          <w:bCs w:val="0"/>
          <w:szCs w:val="21"/>
        </w:rPr>
        <w:fldChar w:fldCharType="separate"/>
      </w:r>
      <w:r>
        <w:rPr>
          <w:rFonts w:hint="eastAsia" w:ascii="宋体" w:hAnsi="宋体" w:cs="宋体"/>
          <w:b w:val="0"/>
          <w:bCs w:val="0"/>
        </w:rPr>
        <w:t>三、 商务文件</w:t>
      </w:r>
      <w:r>
        <w:rPr>
          <w:b w:val="0"/>
          <w:bCs w:val="0"/>
        </w:rPr>
        <w:tab/>
      </w:r>
      <w:r>
        <w:rPr>
          <w:b w:val="0"/>
          <w:bCs w:val="0"/>
        </w:rPr>
        <w:fldChar w:fldCharType="begin"/>
      </w:r>
      <w:r>
        <w:rPr>
          <w:b w:val="0"/>
          <w:bCs w:val="0"/>
        </w:rPr>
        <w:instrText xml:space="preserve"> PAGEREF _Toc3399 \h </w:instrText>
      </w:r>
      <w:r>
        <w:rPr>
          <w:b w:val="0"/>
          <w:bCs w:val="0"/>
        </w:rPr>
        <w:fldChar w:fldCharType="separate"/>
      </w:r>
      <w:r>
        <w:rPr>
          <w:b w:val="0"/>
          <w:bCs w:val="0"/>
        </w:rPr>
        <w:t>48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_Toc15018 </w:instrText>
      </w:r>
      <w:r>
        <w:rPr>
          <w:rFonts w:hint="eastAsia" w:ascii="宋体" w:hAnsi="宋体" w:eastAsia="宋体" w:cs="宋体"/>
          <w:b w:val="0"/>
          <w:bCs w:val="0"/>
          <w:szCs w:val="21"/>
        </w:rPr>
        <w:fldChar w:fldCharType="separate"/>
      </w:r>
      <w:r>
        <w:rPr>
          <w:rFonts w:hint="eastAsia" w:ascii="宋体" w:hAnsi="宋体" w:cs="宋体"/>
          <w:b w:val="0"/>
          <w:bCs w:val="0"/>
          <w:lang w:val="en-US" w:eastAsia="zh-CN"/>
        </w:rPr>
        <w:t>四、技术文件</w:t>
      </w:r>
      <w:r>
        <w:rPr>
          <w:b w:val="0"/>
          <w:bCs w:val="0"/>
        </w:rPr>
        <w:tab/>
      </w:r>
      <w:r>
        <w:rPr>
          <w:b w:val="0"/>
          <w:bCs w:val="0"/>
        </w:rPr>
        <w:fldChar w:fldCharType="begin"/>
      </w:r>
      <w:r>
        <w:rPr>
          <w:b w:val="0"/>
          <w:bCs w:val="0"/>
        </w:rPr>
        <w:instrText xml:space="preserve"> PAGEREF _Toc15018 \h </w:instrText>
      </w:r>
      <w:r>
        <w:rPr>
          <w:b w:val="0"/>
          <w:bCs w:val="0"/>
        </w:rPr>
        <w:fldChar w:fldCharType="separate"/>
      </w:r>
      <w:r>
        <w:rPr>
          <w:b w:val="0"/>
          <w:bCs w:val="0"/>
        </w:rPr>
        <w:t>59</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9"/>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_Toc16846 </w:instrText>
      </w:r>
      <w:r>
        <w:rPr>
          <w:rFonts w:hint="eastAsia" w:ascii="宋体" w:hAnsi="宋体" w:eastAsia="宋体" w:cs="宋体"/>
          <w:b w:val="0"/>
          <w:bCs w:val="0"/>
          <w:szCs w:val="21"/>
        </w:rPr>
        <w:fldChar w:fldCharType="separate"/>
      </w:r>
      <w:r>
        <w:rPr>
          <w:rFonts w:hint="eastAsia" w:ascii="宋体" w:hAnsi="宋体" w:cs="宋体"/>
          <w:b w:val="0"/>
          <w:bCs w:val="0"/>
          <w:lang w:val="en-US" w:eastAsia="zh-CN"/>
        </w:rPr>
        <w:t>五、</w:t>
      </w:r>
      <w:r>
        <w:rPr>
          <w:rFonts w:hint="eastAsia" w:ascii="宋体" w:hAnsi="宋体" w:cs="宋体"/>
          <w:b w:val="0"/>
          <w:bCs w:val="0"/>
        </w:rPr>
        <w:t>其他材料</w:t>
      </w:r>
      <w:r>
        <w:rPr>
          <w:b w:val="0"/>
          <w:bCs w:val="0"/>
        </w:rPr>
        <w:tab/>
      </w:r>
      <w:r>
        <w:rPr>
          <w:b w:val="0"/>
          <w:bCs w:val="0"/>
        </w:rPr>
        <w:fldChar w:fldCharType="begin"/>
      </w:r>
      <w:r>
        <w:rPr>
          <w:b w:val="0"/>
          <w:bCs w:val="0"/>
        </w:rPr>
        <w:instrText xml:space="preserve"> PAGEREF _Toc16846 \h </w:instrText>
      </w:r>
      <w:r>
        <w:rPr>
          <w:b w:val="0"/>
          <w:bCs w:val="0"/>
        </w:rPr>
        <w:fldChar w:fldCharType="separate"/>
      </w:r>
      <w:r>
        <w:rPr>
          <w:b w:val="0"/>
          <w:bCs w:val="0"/>
        </w:rPr>
        <w:t>65</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tabs>
          <w:tab w:val="left" w:leader="middleDot" w:pos="8190"/>
          <w:tab w:val="right" w:leader="dot" w:pos="8400"/>
          <w:tab w:val="right" w:leader="dot" w:pos="8460"/>
        </w:tabs>
        <w:adjustRightInd w:val="0"/>
        <w:snapToGrid w:val="0"/>
        <w:ind w:right="-81"/>
        <w:jc w:val="both"/>
        <w:rPr>
          <w:rFonts w:hint="eastAsia" w:ascii="宋体" w:hAnsi="宋体" w:eastAsia="宋体" w:cs="宋体"/>
          <w:b w:val="0"/>
          <w:bCs w:val="0"/>
          <w:color w:val="000000" w:themeColor="text1"/>
          <w:sz w:val="21"/>
          <w:szCs w:val="21"/>
          <w14:textFill>
            <w14:solidFill>
              <w14:schemeClr w14:val="tx1"/>
            </w14:solidFill>
          </w14:textFill>
        </w:rPr>
        <w:sectPr>
          <w:footerReference r:id="rId6" w:type="default"/>
          <w:pgSz w:w="11906" w:h="16838"/>
          <w:pgMar w:top="1588" w:right="1646"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eastAsia" w:ascii="宋体" w:hAnsi="宋体" w:eastAsia="宋体" w:cs="宋体"/>
          <w:b w:val="0"/>
          <w:bCs w:val="0"/>
          <w:color w:val="000000" w:themeColor="text1"/>
          <w:szCs w:val="21"/>
          <w14:textFill>
            <w14:solidFill>
              <w14:schemeClr w14:val="tx1"/>
            </w14:solidFill>
          </w14:textFill>
        </w:rPr>
        <w:fldChar w:fldCharType="end"/>
      </w:r>
      <w:bookmarkStart w:id="561" w:name="_GoBack"/>
      <w:bookmarkEnd w:id="561"/>
    </w:p>
    <w:p>
      <w:pPr>
        <w:pStyle w:val="2"/>
        <w:bidi w:val="0"/>
        <w:jc w:val="center"/>
        <w:rPr>
          <w:rFonts w:hint="eastAsia" w:ascii="黑体" w:hAnsi="黑体" w:cs="黑体"/>
        </w:rPr>
      </w:pPr>
      <w:bookmarkStart w:id="0" w:name="_Toc32262"/>
      <w:bookmarkStart w:id="1" w:name="_Toc17716"/>
      <w:bookmarkStart w:id="2" w:name="_Toc13926"/>
      <w:bookmarkStart w:id="3" w:name="_Toc107822481"/>
      <w:bookmarkStart w:id="4" w:name="_Toc3896"/>
      <w:bookmarkStart w:id="5" w:name="_Toc18643"/>
      <w:bookmarkStart w:id="6" w:name="_Toc5189"/>
      <w:bookmarkStart w:id="7" w:name="_Toc32667"/>
      <w:bookmarkStart w:id="8" w:name="_Toc2225"/>
      <w:bookmarkStart w:id="9" w:name="_Toc226969274"/>
      <w:bookmarkStart w:id="10" w:name="_Toc227057881"/>
      <w:r>
        <w:rPr>
          <w:rFonts w:hint="eastAsia" w:ascii="黑体" w:hAnsi="黑体" w:cs="黑体"/>
        </w:rPr>
        <w:t xml:space="preserve">第一章  </w:t>
      </w:r>
      <w:bookmarkEnd w:id="0"/>
      <w:bookmarkEnd w:id="1"/>
      <w:bookmarkEnd w:id="2"/>
      <w:bookmarkEnd w:id="3"/>
      <w:r>
        <w:rPr>
          <w:rFonts w:hint="eastAsia" w:ascii="黑体" w:hAnsi="黑体" w:cs="黑体"/>
          <w:lang w:val="en-US" w:eastAsia="zh-CN"/>
        </w:rPr>
        <w:t>招标公告</w:t>
      </w:r>
      <w:bookmarkEnd w:id="4"/>
      <w:bookmarkEnd w:id="5"/>
      <w:bookmarkEnd w:id="6"/>
      <w:bookmarkEnd w:id="7"/>
      <w:bookmarkEnd w:id="8"/>
    </w:p>
    <w:bookmarkEnd w:id="9"/>
    <w:bookmarkEnd w:id="10"/>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bookmarkStart w:id="11" w:name="_Toc251189093"/>
      <w:bookmarkStart w:id="12" w:name="_Toc185012671"/>
      <w:bookmarkStart w:id="13" w:name="_Toc251221438"/>
      <w:r>
        <w:rPr>
          <w:rFonts w:hint="eastAsia" w:ascii="宋体" w:hAnsi="宋体" w:eastAsia="宋体" w:cs="宋体"/>
        </w:rPr>
        <w:t>根据《中华人民共和国招标投标法》等有关规定，就</w:t>
      </w:r>
      <w:r>
        <w:rPr>
          <w:rFonts w:hint="eastAsia" w:ascii="宋体" w:hAnsi="宋体" w:eastAsia="宋体" w:cs="宋体"/>
          <w:lang w:eastAsia="zh-CN"/>
        </w:rPr>
        <w:t>广东亿利达注塑设备采购项目</w:t>
      </w:r>
      <w:r>
        <w:rPr>
          <w:rFonts w:hint="eastAsia" w:ascii="宋体" w:hAnsi="宋体" w:eastAsia="宋体" w:cs="宋体"/>
        </w:rPr>
        <w:t>进行</w:t>
      </w:r>
      <w:r>
        <w:rPr>
          <w:rFonts w:hint="eastAsia" w:ascii="宋体" w:hAnsi="宋体" w:eastAsia="宋体" w:cs="宋体"/>
          <w:lang w:val="en-US" w:eastAsia="zh-CN"/>
        </w:rPr>
        <w:t>公开</w:t>
      </w:r>
      <w:r>
        <w:rPr>
          <w:rFonts w:hint="eastAsia" w:ascii="宋体" w:hAnsi="宋体" w:eastAsia="宋体" w:cs="宋体"/>
        </w:rPr>
        <w:t>招标，欢迎贵单位前来投标。</w:t>
      </w:r>
    </w:p>
    <w:p>
      <w:pPr>
        <w:pStyle w:val="3"/>
        <w:pageBreakBefore w:val="0"/>
        <w:widowControl w:val="0"/>
        <w:numPr>
          <w:ilvl w:val="0"/>
          <w:numId w:val="4"/>
        </w:numPr>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rPr>
      </w:pPr>
      <w:bookmarkStart w:id="14" w:name="_Toc4276"/>
      <w:bookmarkStart w:id="15" w:name="_Toc7052"/>
      <w:bookmarkStart w:id="16" w:name="_Toc28329"/>
      <w:bookmarkStart w:id="17" w:name="_Toc14355"/>
      <w:bookmarkStart w:id="18" w:name="_Toc9148"/>
      <w:bookmarkStart w:id="19" w:name="_Toc9200"/>
      <w:bookmarkStart w:id="20" w:name="_Toc18215"/>
      <w:bookmarkStart w:id="21" w:name="_Toc15768"/>
      <w:r>
        <w:rPr>
          <w:rFonts w:hint="eastAsia" w:ascii="宋体" w:hAnsi="宋体" w:cs="宋体"/>
        </w:rPr>
        <w:t>招标项目编号</w:t>
      </w:r>
      <w:bookmarkEnd w:id="14"/>
      <w:bookmarkEnd w:id="15"/>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招标项目编号：YLD-ZB-20240404</w:t>
      </w:r>
    </w:p>
    <w:p>
      <w:pPr>
        <w:pStyle w:val="3"/>
        <w:pageBreakBefore w:val="0"/>
        <w:widowControl w:val="0"/>
        <w:numPr>
          <w:ilvl w:val="0"/>
          <w:numId w:val="4"/>
        </w:numPr>
        <w:kinsoku/>
        <w:wordWrap/>
        <w:overflowPunct/>
        <w:topLinePunct w:val="0"/>
        <w:autoSpaceDE/>
        <w:autoSpaceDN/>
        <w:bidi w:val="0"/>
        <w:adjustRightInd/>
        <w:snapToGrid/>
        <w:spacing w:before="0" w:after="0" w:line="360" w:lineRule="auto"/>
        <w:ind w:left="0" w:leftChars="0" w:firstLine="643" w:firstLineChars="200"/>
        <w:textAlignment w:val="auto"/>
        <w:rPr>
          <w:rFonts w:hint="eastAsia" w:ascii="宋体" w:hAnsi="宋体" w:cs="宋体"/>
        </w:rPr>
      </w:pPr>
      <w:bookmarkStart w:id="22" w:name="_Toc908"/>
      <w:bookmarkStart w:id="23" w:name="_Toc4327"/>
      <w:bookmarkStart w:id="24" w:name="_Toc31225"/>
      <w:bookmarkStart w:id="25" w:name="_Toc22021"/>
      <w:bookmarkStart w:id="26" w:name="_Toc20533"/>
      <w:bookmarkStart w:id="27" w:name="_Toc27903"/>
      <w:bookmarkStart w:id="28" w:name="_Toc11593"/>
      <w:bookmarkStart w:id="29" w:name="_Toc11822"/>
      <w:r>
        <w:rPr>
          <w:rFonts w:hint="eastAsia" w:ascii="宋体" w:hAnsi="宋体" w:cs="宋体"/>
        </w:rPr>
        <w:t>项目名称</w:t>
      </w:r>
      <w:bookmarkEnd w:id="22"/>
      <w:bookmarkEnd w:id="23"/>
      <w:bookmarkEnd w:id="24"/>
      <w:bookmarkEnd w:id="25"/>
      <w:bookmarkEnd w:id="26"/>
      <w:bookmarkEnd w:id="27"/>
      <w:bookmarkEnd w:id="28"/>
      <w:bookmarkEnd w:id="29"/>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项目名称：广东亿利达注塑设备采购项目</w:t>
      </w:r>
    </w:p>
    <w:p>
      <w:pPr>
        <w:pStyle w:val="3"/>
        <w:pageBreakBefore w:val="0"/>
        <w:widowControl w:val="0"/>
        <w:numPr>
          <w:ilvl w:val="0"/>
          <w:numId w:val="4"/>
        </w:numPr>
        <w:kinsoku/>
        <w:wordWrap/>
        <w:overflowPunct/>
        <w:topLinePunct w:val="0"/>
        <w:autoSpaceDE/>
        <w:autoSpaceDN/>
        <w:bidi w:val="0"/>
        <w:adjustRightInd/>
        <w:snapToGrid/>
        <w:spacing w:before="0" w:after="0" w:line="360" w:lineRule="auto"/>
        <w:ind w:left="0" w:leftChars="0" w:firstLine="643" w:firstLineChars="200"/>
        <w:textAlignment w:val="auto"/>
        <w:rPr>
          <w:rFonts w:hint="eastAsia" w:ascii="宋体" w:hAnsi="宋体" w:cs="宋体"/>
        </w:rPr>
      </w:pPr>
      <w:bookmarkStart w:id="30" w:name="_Toc8482"/>
      <w:bookmarkStart w:id="31" w:name="_Toc28716"/>
      <w:bookmarkStart w:id="32" w:name="_Toc371"/>
      <w:bookmarkStart w:id="33" w:name="_Toc32422"/>
      <w:bookmarkStart w:id="34" w:name="_Toc5215"/>
      <w:bookmarkStart w:id="35" w:name="_Toc23291"/>
      <w:bookmarkStart w:id="36" w:name="_Toc32364"/>
      <w:bookmarkStart w:id="37" w:name="_Toc7424"/>
      <w:r>
        <w:rPr>
          <w:rFonts w:hint="eastAsia" w:ascii="宋体" w:hAnsi="宋体" w:cs="宋体"/>
        </w:rPr>
        <w:t>招标方式</w:t>
      </w:r>
      <w:bookmarkEnd w:id="30"/>
      <w:bookmarkEnd w:id="31"/>
      <w:bookmarkEnd w:id="32"/>
      <w:bookmarkEnd w:id="33"/>
      <w:bookmarkEnd w:id="34"/>
      <w:bookmarkEnd w:id="35"/>
      <w:bookmarkEnd w:id="36"/>
      <w:bookmarkEnd w:id="37"/>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lang w:val="en-US" w:eastAsia="zh-CN"/>
        </w:rPr>
        <w:t>招标方式：公开</w:t>
      </w:r>
      <w:r>
        <w:rPr>
          <w:rFonts w:hint="eastAsia" w:ascii="宋体" w:hAnsi="宋体" w:eastAsia="宋体" w:cs="宋体"/>
        </w:rPr>
        <w:t>招标</w:t>
      </w:r>
    </w:p>
    <w:p>
      <w:pPr>
        <w:pStyle w:val="3"/>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rPr>
      </w:pPr>
      <w:bookmarkStart w:id="38" w:name="_Toc2569"/>
      <w:bookmarkStart w:id="39" w:name="_Toc22306"/>
      <w:bookmarkStart w:id="40" w:name="_Toc4471"/>
      <w:bookmarkStart w:id="41" w:name="_Toc11035"/>
      <w:bookmarkStart w:id="42" w:name="_Toc23396"/>
      <w:bookmarkStart w:id="43" w:name="_Toc26388"/>
      <w:bookmarkStart w:id="44" w:name="_Toc3959"/>
      <w:bookmarkStart w:id="45" w:name="_Toc889"/>
      <w:r>
        <w:rPr>
          <w:rFonts w:hint="eastAsia" w:ascii="宋体" w:hAnsi="宋体" w:cs="宋体"/>
        </w:rPr>
        <w:t>四、招标项目概况</w:t>
      </w:r>
      <w:bookmarkEnd w:id="38"/>
      <w:bookmarkEnd w:id="39"/>
      <w:bookmarkEnd w:id="40"/>
      <w:bookmarkEnd w:id="41"/>
      <w:bookmarkEnd w:id="42"/>
      <w:bookmarkEnd w:id="43"/>
      <w:bookmarkEnd w:id="44"/>
      <w:bookmarkEnd w:id="45"/>
    </w:p>
    <w:tbl>
      <w:tblPr>
        <w:tblStyle w:val="46"/>
        <w:tblW w:w="85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60"/>
        <w:gridCol w:w="871"/>
        <w:gridCol w:w="585"/>
        <w:gridCol w:w="1072"/>
        <w:gridCol w:w="3660"/>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15" w:type="dxa"/>
            <w:vAlign w:val="center"/>
          </w:tcPr>
          <w:p>
            <w:pPr>
              <w:widowControl/>
              <w:jc w:val="center"/>
              <w:rPr>
                <w:rFonts w:ascii="Verdana" w:hAnsi="Verdana" w:cs="Verdana"/>
                <w:b/>
                <w:bCs/>
                <w:color w:val="000000" w:themeColor="text1"/>
                <w:kern w:val="0"/>
                <w:sz w:val="18"/>
                <w:szCs w:val="18"/>
                <w14:textFill>
                  <w14:solidFill>
                    <w14:schemeClr w14:val="tx1"/>
                  </w14:solidFill>
                </w14:textFill>
              </w:rPr>
            </w:pPr>
            <w:r>
              <w:rPr>
                <w:rFonts w:hint="eastAsia" w:ascii="Verdana" w:hAnsi="Verdana" w:cs="Verdana"/>
                <w:b/>
                <w:bCs/>
                <w:color w:val="000000" w:themeColor="text1"/>
                <w:kern w:val="0"/>
                <w:sz w:val="18"/>
                <w:szCs w:val="18"/>
                <w14:textFill>
                  <w14:solidFill>
                    <w14:schemeClr w14:val="tx1"/>
                  </w14:solidFill>
                </w14:textFill>
              </w:rPr>
              <w:t>序号</w:t>
            </w:r>
          </w:p>
        </w:tc>
        <w:tc>
          <w:tcPr>
            <w:tcW w:w="841" w:type="dxa"/>
            <w:vAlign w:val="center"/>
          </w:tcPr>
          <w:p>
            <w:pPr>
              <w:widowControl/>
              <w:jc w:val="center"/>
              <w:rPr>
                <w:rFonts w:ascii="Verdana" w:hAnsi="Verdana" w:cs="Verdana"/>
                <w:b/>
                <w:bCs/>
                <w:color w:val="000000" w:themeColor="text1"/>
                <w:kern w:val="0"/>
                <w:sz w:val="18"/>
                <w:szCs w:val="18"/>
                <w14:textFill>
                  <w14:solidFill>
                    <w14:schemeClr w14:val="tx1"/>
                  </w14:solidFill>
                </w14:textFill>
              </w:rPr>
            </w:pPr>
            <w:r>
              <w:rPr>
                <w:rFonts w:ascii="Verdana" w:hAnsi="Verdana" w:cs="Verdana"/>
                <w:b/>
                <w:bCs/>
                <w:color w:val="000000" w:themeColor="text1"/>
                <w:kern w:val="0"/>
                <w:sz w:val="18"/>
                <w:szCs w:val="18"/>
                <w14:textFill>
                  <w14:solidFill>
                    <w14:schemeClr w14:val="tx1"/>
                  </w14:solidFill>
                </w14:textFill>
              </w:rPr>
              <w:t>采购数量</w:t>
            </w:r>
          </w:p>
        </w:tc>
        <w:tc>
          <w:tcPr>
            <w:tcW w:w="555" w:type="dxa"/>
            <w:vAlign w:val="center"/>
          </w:tcPr>
          <w:p>
            <w:pPr>
              <w:widowControl/>
              <w:jc w:val="center"/>
              <w:rPr>
                <w:rFonts w:ascii="Verdana" w:hAnsi="Verdana" w:cs="Verdana"/>
                <w:b/>
                <w:bCs/>
                <w:color w:val="000000" w:themeColor="text1"/>
                <w:kern w:val="0"/>
                <w:sz w:val="18"/>
                <w:szCs w:val="18"/>
                <w14:textFill>
                  <w14:solidFill>
                    <w14:schemeClr w14:val="tx1"/>
                  </w14:solidFill>
                </w14:textFill>
              </w:rPr>
            </w:pPr>
            <w:r>
              <w:rPr>
                <w:rFonts w:ascii="Verdana" w:hAnsi="Verdana" w:cs="Verdana"/>
                <w:b/>
                <w:bCs/>
                <w:color w:val="000000" w:themeColor="text1"/>
                <w:kern w:val="0"/>
                <w:sz w:val="18"/>
                <w:szCs w:val="18"/>
                <w14:textFill>
                  <w14:solidFill>
                    <w14:schemeClr w14:val="tx1"/>
                  </w14:solidFill>
                </w14:textFill>
              </w:rPr>
              <w:t>单位</w:t>
            </w:r>
          </w:p>
        </w:tc>
        <w:tc>
          <w:tcPr>
            <w:tcW w:w="1042" w:type="dxa"/>
            <w:vAlign w:val="center"/>
          </w:tcPr>
          <w:p>
            <w:pPr>
              <w:widowControl/>
              <w:jc w:val="center"/>
              <w:rPr>
                <w:rFonts w:ascii="Verdana" w:hAnsi="Verdana" w:cs="Verdana"/>
                <w:b/>
                <w:bCs/>
                <w:color w:val="000000" w:themeColor="text1"/>
                <w:kern w:val="0"/>
                <w:sz w:val="18"/>
                <w:szCs w:val="18"/>
                <w14:textFill>
                  <w14:solidFill>
                    <w14:schemeClr w14:val="tx1"/>
                  </w14:solidFill>
                </w14:textFill>
              </w:rPr>
            </w:pPr>
            <w:r>
              <w:rPr>
                <w:rFonts w:ascii="Verdana" w:hAnsi="Verdana" w:cs="Verdana"/>
                <w:b/>
                <w:bCs/>
                <w:color w:val="000000" w:themeColor="text1"/>
                <w:kern w:val="0"/>
                <w:sz w:val="18"/>
                <w:szCs w:val="18"/>
                <w14:textFill>
                  <w14:solidFill>
                    <w14:schemeClr w14:val="tx1"/>
                  </w14:solidFill>
                </w14:textFill>
              </w:rPr>
              <w:t>预算总金额</w:t>
            </w:r>
          </w:p>
          <w:p>
            <w:pPr>
              <w:widowControl/>
              <w:jc w:val="center"/>
              <w:rPr>
                <w:rFonts w:ascii="Verdana" w:hAnsi="Verdana" w:cs="Verdana"/>
                <w:b/>
                <w:bCs/>
                <w:color w:val="000000" w:themeColor="text1"/>
                <w:kern w:val="0"/>
                <w:sz w:val="18"/>
                <w:szCs w:val="18"/>
                <w14:textFill>
                  <w14:solidFill>
                    <w14:schemeClr w14:val="tx1"/>
                  </w14:solidFill>
                </w14:textFill>
              </w:rPr>
            </w:pPr>
            <w:r>
              <w:rPr>
                <w:rFonts w:ascii="Verdana" w:hAnsi="Verdana" w:cs="Verdana"/>
                <w:b/>
                <w:bCs/>
                <w:color w:val="000000" w:themeColor="text1"/>
                <w:kern w:val="0"/>
                <w:sz w:val="18"/>
                <w:szCs w:val="18"/>
                <w14:textFill>
                  <w14:solidFill>
                    <w14:schemeClr w14:val="tx1"/>
                  </w14:solidFill>
                </w14:textFill>
              </w:rPr>
              <w:t>(</w:t>
            </w:r>
            <w:r>
              <w:rPr>
                <w:rFonts w:hint="eastAsia" w:ascii="Verdana" w:hAnsi="Verdana" w:cs="Verdana"/>
                <w:b/>
                <w:bCs/>
                <w:color w:val="000000" w:themeColor="text1"/>
                <w:kern w:val="0"/>
                <w:sz w:val="18"/>
                <w:szCs w:val="18"/>
                <w14:textFill>
                  <w14:solidFill>
                    <w14:schemeClr w14:val="tx1"/>
                  </w14:solidFill>
                </w14:textFill>
              </w:rPr>
              <w:t>万</w:t>
            </w:r>
            <w:r>
              <w:rPr>
                <w:rFonts w:ascii="Verdana" w:hAnsi="Verdana" w:cs="Verdana"/>
                <w:b/>
                <w:bCs/>
                <w:color w:val="000000" w:themeColor="text1"/>
                <w:kern w:val="0"/>
                <w:sz w:val="18"/>
                <w:szCs w:val="18"/>
                <w14:textFill>
                  <w14:solidFill>
                    <w14:schemeClr w14:val="tx1"/>
                  </w14:solidFill>
                </w14:textFill>
              </w:rPr>
              <w:t>元)</w:t>
            </w:r>
          </w:p>
        </w:tc>
        <w:tc>
          <w:tcPr>
            <w:tcW w:w="3630" w:type="dxa"/>
            <w:vAlign w:val="center"/>
          </w:tcPr>
          <w:p>
            <w:pPr>
              <w:widowControl/>
              <w:jc w:val="center"/>
              <w:rPr>
                <w:rFonts w:ascii="Verdana" w:hAnsi="Verdana" w:cs="Verdana"/>
                <w:b/>
                <w:bCs/>
                <w:color w:val="000000" w:themeColor="text1"/>
                <w:kern w:val="0"/>
                <w:sz w:val="18"/>
                <w:szCs w:val="18"/>
                <w14:textFill>
                  <w14:solidFill>
                    <w14:schemeClr w14:val="tx1"/>
                  </w14:solidFill>
                </w14:textFill>
              </w:rPr>
            </w:pPr>
            <w:r>
              <w:rPr>
                <w:rFonts w:ascii="Verdana" w:hAnsi="Verdana" w:cs="Verdana"/>
                <w:b/>
                <w:bCs/>
                <w:color w:val="000000" w:themeColor="text1"/>
                <w:kern w:val="0"/>
                <w:sz w:val="18"/>
                <w:szCs w:val="18"/>
                <w14:textFill>
                  <w14:solidFill>
                    <w14:schemeClr w14:val="tx1"/>
                  </w14:solidFill>
                </w14:textFill>
              </w:rPr>
              <w:t>简要技术要求、用途</w:t>
            </w:r>
          </w:p>
        </w:tc>
        <w:tc>
          <w:tcPr>
            <w:tcW w:w="1901" w:type="dxa"/>
            <w:vAlign w:val="center"/>
          </w:tcPr>
          <w:p>
            <w:pPr>
              <w:widowControl/>
              <w:jc w:val="center"/>
              <w:rPr>
                <w:rFonts w:ascii="Verdana" w:hAnsi="Verdana" w:cs="Verdana"/>
                <w:b/>
                <w:bCs/>
                <w:color w:val="000000" w:themeColor="text1"/>
                <w:kern w:val="0"/>
                <w:sz w:val="18"/>
                <w:szCs w:val="18"/>
                <w14:textFill>
                  <w14:solidFill>
                    <w14:schemeClr w14:val="tx1"/>
                  </w14:solidFill>
                </w14:textFill>
              </w:rPr>
            </w:pPr>
            <w:r>
              <w:rPr>
                <w:rFonts w:ascii="Verdana" w:hAnsi="Verdana" w:cs="Verdana"/>
                <w:b/>
                <w:bCs/>
                <w:color w:val="000000" w:themeColor="text1"/>
                <w:kern w:val="0"/>
                <w:sz w:val="18"/>
                <w:szCs w:val="18"/>
                <w14:textFill>
                  <w14:solidFill>
                    <w14:schemeClr w14:val="tx1"/>
                  </w14:solidFill>
                </w14:textFill>
              </w:rPr>
              <w:t>招标内容备注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415" w:type="dxa"/>
            <w:vAlign w:val="center"/>
          </w:tcPr>
          <w:p>
            <w:pPr>
              <w:widowControl/>
              <w:jc w:val="center"/>
              <w:rPr>
                <w:rFonts w:ascii="Verdana" w:hAnsi="Verdana" w:cs="Verdana"/>
                <w:b w:val="0"/>
                <w:bCs w:val="0"/>
                <w:color w:val="000000" w:themeColor="text1"/>
                <w:kern w:val="0"/>
                <w:sz w:val="18"/>
                <w:szCs w:val="18"/>
                <w14:textFill>
                  <w14:solidFill>
                    <w14:schemeClr w14:val="tx1"/>
                  </w14:solidFill>
                </w14:textFill>
              </w:rPr>
            </w:pPr>
            <w:r>
              <w:rPr>
                <w:rFonts w:ascii="Verdana" w:hAnsi="Verdana" w:cs="Verdana"/>
                <w:b w:val="0"/>
                <w:bCs w:val="0"/>
                <w:color w:val="000000" w:themeColor="text1"/>
                <w:kern w:val="0"/>
                <w:sz w:val="18"/>
                <w:szCs w:val="18"/>
                <w14:textFill>
                  <w14:solidFill>
                    <w14:schemeClr w14:val="tx1"/>
                  </w14:solidFill>
                </w14:textFill>
              </w:rPr>
              <w:t>1</w:t>
            </w:r>
          </w:p>
        </w:tc>
        <w:tc>
          <w:tcPr>
            <w:tcW w:w="841" w:type="dxa"/>
            <w:vAlign w:val="center"/>
          </w:tcPr>
          <w:p>
            <w:pPr>
              <w:widowControl/>
              <w:jc w:val="center"/>
              <w:rPr>
                <w:rFonts w:hint="eastAsia" w:ascii="Verdana" w:hAnsi="Verdana" w:eastAsia="EYInterstate Light" w:cs="Verdana"/>
                <w:b w:val="0"/>
                <w:bCs w:val="0"/>
                <w:color w:val="000000" w:themeColor="text1"/>
                <w:kern w:val="0"/>
                <w:sz w:val="18"/>
                <w:szCs w:val="18"/>
                <w:lang w:eastAsia="zh-CN"/>
                <w14:textFill>
                  <w14:solidFill>
                    <w14:schemeClr w14:val="tx1"/>
                  </w14:solidFill>
                </w14:textFill>
              </w:rPr>
            </w:pPr>
            <w:r>
              <w:rPr>
                <w:rFonts w:hint="eastAsia" w:ascii="Verdana" w:hAnsi="Verdana" w:cs="Verdana"/>
                <w:b w:val="0"/>
                <w:bCs w:val="0"/>
                <w:color w:val="000000" w:themeColor="text1"/>
                <w:kern w:val="0"/>
                <w:sz w:val="18"/>
                <w:szCs w:val="18"/>
                <w:lang w:val="en-US" w:eastAsia="zh-CN"/>
                <w14:textFill>
                  <w14:solidFill>
                    <w14:schemeClr w14:val="tx1"/>
                  </w14:solidFill>
                </w14:textFill>
              </w:rPr>
              <w:t>1</w:t>
            </w:r>
          </w:p>
        </w:tc>
        <w:tc>
          <w:tcPr>
            <w:tcW w:w="555" w:type="dxa"/>
            <w:vAlign w:val="center"/>
          </w:tcPr>
          <w:p>
            <w:pPr>
              <w:widowControl/>
              <w:jc w:val="center"/>
              <w:rPr>
                <w:rFonts w:ascii="Verdana" w:hAnsi="Verdana" w:eastAsia="宋体" w:cs="Verdana"/>
                <w:b w:val="0"/>
                <w:bCs w:val="0"/>
                <w:color w:val="000000" w:themeColor="text1"/>
                <w:kern w:val="0"/>
                <w:sz w:val="18"/>
                <w:szCs w:val="18"/>
                <w14:textFill>
                  <w14:solidFill>
                    <w14:schemeClr w14:val="tx1"/>
                  </w14:solidFill>
                </w14:textFill>
              </w:rPr>
            </w:pPr>
            <w:r>
              <w:rPr>
                <w:rFonts w:hint="eastAsia" w:ascii="Verdana" w:hAnsi="Verdana" w:eastAsia="宋体" w:cs="Verdana"/>
                <w:b w:val="0"/>
                <w:bCs w:val="0"/>
                <w:color w:val="000000" w:themeColor="text1"/>
                <w:kern w:val="0"/>
                <w:sz w:val="18"/>
                <w:szCs w:val="18"/>
                <w14:textFill>
                  <w14:solidFill>
                    <w14:schemeClr w14:val="tx1"/>
                  </w14:solidFill>
                </w14:textFill>
              </w:rPr>
              <w:t>项</w:t>
            </w:r>
          </w:p>
        </w:tc>
        <w:tc>
          <w:tcPr>
            <w:tcW w:w="1042" w:type="dxa"/>
            <w:vAlign w:val="center"/>
          </w:tcPr>
          <w:p>
            <w:pPr>
              <w:widowControl/>
              <w:jc w:val="center"/>
              <w:rPr>
                <w:rFonts w:hint="default" w:ascii="Verdana" w:hAnsi="Verdana" w:eastAsia="宋体" w:cs="Verdana"/>
                <w:b w:val="0"/>
                <w:bCs w:val="0"/>
                <w:color w:val="000000" w:themeColor="text1"/>
                <w:kern w:val="0"/>
                <w:sz w:val="18"/>
                <w:szCs w:val="18"/>
                <w:highlight w:val="none"/>
                <w:lang w:val="en-US" w:eastAsia="zh-CN"/>
                <w14:textFill>
                  <w14:solidFill>
                    <w14:schemeClr w14:val="tx1"/>
                  </w14:solidFill>
                </w14:textFill>
              </w:rPr>
            </w:pPr>
            <w:r>
              <w:rPr>
                <w:rFonts w:hint="eastAsia" w:ascii="Verdana" w:hAnsi="Verdana" w:eastAsia="宋体" w:cs="Verdana"/>
                <w:b w:val="0"/>
                <w:bCs w:val="0"/>
                <w:color w:val="000000" w:themeColor="text1"/>
                <w:kern w:val="0"/>
                <w:sz w:val="18"/>
                <w:szCs w:val="18"/>
                <w:highlight w:val="none"/>
                <w:lang w:val="en-US" w:eastAsia="zh-CN"/>
                <w14:textFill>
                  <w14:solidFill>
                    <w14:schemeClr w14:val="tx1"/>
                  </w14:solidFill>
                </w14:textFill>
              </w:rPr>
              <w:t>65</w:t>
            </w:r>
          </w:p>
        </w:tc>
        <w:tc>
          <w:tcPr>
            <w:tcW w:w="3630" w:type="dxa"/>
            <w:vAlign w:val="center"/>
          </w:tcPr>
          <w:p>
            <w:pPr>
              <w:widowControl/>
              <w:numPr>
                <w:ilvl w:val="-1"/>
                <w:numId w:val="0"/>
              </w:numPr>
              <w:ind w:left="0" w:leftChars="0" w:firstLine="0" w:firstLineChars="0"/>
              <w:jc w:val="left"/>
              <w:rPr>
                <w:rFonts w:hint="default" w:ascii="Verdana" w:hAnsi="Verdana" w:eastAsia="宋体" w:cs="Verdana"/>
                <w:b w:val="0"/>
                <w:bCs w:val="0"/>
                <w:color w:val="000000" w:themeColor="text1"/>
                <w:kern w:val="0"/>
                <w:sz w:val="18"/>
                <w:szCs w:val="18"/>
                <w:highlight w:val="none"/>
                <w:lang w:val="en-US" w:eastAsia="zh-CN"/>
                <w14:textFill>
                  <w14:solidFill>
                    <w14:schemeClr w14:val="tx1"/>
                  </w14:solidFill>
                </w14:textFill>
              </w:rPr>
            </w:pPr>
            <w:r>
              <w:rPr>
                <w:rFonts w:hint="eastAsia" w:ascii="Verdana" w:hAnsi="Verdana" w:eastAsia="宋体" w:cs="Verdana"/>
                <w:i w:val="0"/>
                <w:iCs w:val="0"/>
                <w:caps w:val="0"/>
                <w:color w:val="000000"/>
                <w:spacing w:val="0"/>
                <w:kern w:val="0"/>
                <w:sz w:val="18"/>
                <w:szCs w:val="18"/>
                <w:highlight w:val="none"/>
                <w:lang w:val="en-US" w:eastAsia="zh-CN" w:bidi="ar"/>
              </w:rPr>
              <w:t>流水线①：长6500*宽500*高2300（高度可调整结构）；流水线②：</w:t>
            </w:r>
            <w:r>
              <w:rPr>
                <w:rFonts w:hint="eastAsia" w:ascii="Verdana" w:hAnsi="Verdana" w:eastAsia="宋体" w:cs="Verdana"/>
                <w:i w:val="0"/>
                <w:iCs w:val="0"/>
                <w:caps w:val="0"/>
                <w:color w:val="000000"/>
                <w:spacing w:val="0"/>
                <w:kern w:val="0"/>
                <w:sz w:val="18"/>
                <w:szCs w:val="18"/>
                <w:highlight w:val="none"/>
                <w:shd w:val="clear" w:fill="auto"/>
                <w:lang w:val="en-US" w:eastAsia="zh-CN" w:bidi="ar"/>
              </w:rPr>
              <w:t>长5300*宽600*高2400（高度可调整结构）</w:t>
            </w:r>
          </w:p>
        </w:tc>
        <w:tc>
          <w:tcPr>
            <w:tcW w:w="1901" w:type="dxa"/>
            <w:vAlign w:val="center"/>
          </w:tcPr>
          <w:p>
            <w:pPr>
              <w:widowControl/>
              <w:jc w:val="left"/>
              <w:rPr>
                <w:rFonts w:hint="default" w:eastAsia="宋体"/>
                <w:b w:val="0"/>
                <w:bCs w:val="0"/>
                <w:color w:val="000000" w:themeColor="text1"/>
                <w:kern w:val="0"/>
                <w:sz w:val="18"/>
                <w:szCs w:val="18"/>
                <w:lang w:val="en-US" w:eastAsia="zh-CN"/>
                <w14:textFill>
                  <w14:solidFill>
                    <w14:schemeClr w14:val="tx1"/>
                  </w14:solidFill>
                </w14:textFill>
              </w:rPr>
            </w:pPr>
            <w:r>
              <w:rPr>
                <w:rFonts w:hint="eastAsia"/>
                <w:color w:val="000000" w:themeColor="text1"/>
                <w:kern w:val="0"/>
                <w:sz w:val="18"/>
                <w:szCs w:val="18"/>
                <w:lang w:val="en-US" w:eastAsia="zh-CN"/>
                <w14:textFill>
                  <w14:solidFill>
                    <w14:schemeClr w14:val="tx1"/>
                  </w14:solidFill>
                </w14:textFill>
              </w:rPr>
              <w:t xml:space="preserve">   注塑机及配套设施      </w:t>
            </w:r>
          </w:p>
        </w:tc>
      </w:tr>
    </w:tbl>
    <w:p>
      <w:pPr>
        <w:pStyle w:val="3"/>
        <w:pageBreakBefore w:val="0"/>
        <w:kinsoku/>
        <w:wordWrap/>
        <w:overflowPunct/>
        <w:topLinePunct w:val="0"/>
        <w:autoSpaceDE/>
        <w:autoSpaceDN/>
        <w:bidi w:val="0"/>
        <w:spacing w:before="0" w:after="0" w:line="360" w:lineRule="auto"/>
        <w:ind w:firstLine="643" w:firstLineChars="200"/>
        <w:textAlignment w:val="auto"/>
        <w:rPr>
          <w:rFonts w:hint="eastAsia" w:ascii="宋体" w:hAnsi="宋体" w:cs="宋体"/>
        </w:rPr>
      </w:pPr>
      <w:bookmarkStart w:id="46" w:name="_Toc30538"/>
      <w:bookmarkStart w:id="47" w:name="_Toc4969"/>
      <w:bookmarkStart w:id="48" w:name="_Toc2845"/>
      <w:bookmarkStart w:id="49" w:name="_Toc14455"/>
      <w:bookmarkStart w:id="50" w:name="_Toc23825"/>
      <w:bookmarkStart w:id="51" w:name="_Toc25276"/>
      <w:bookmarkStart w:id="52" w:name="_Toc5168"/>
      <w:bookmarkStart w:id="53" w:name="_Toc6446"/>
      <w:r>
        <w:rPr>
          <w:rFonts w:hint="eastAsia" w:ascii="宋体" w:hAnsi="宋体" w:cs="宋体"/>
        </w:rPr>
        <w:t>五、投标人资格要求</w:t>
      </w:r>
      <w:bookmarkEnd w:id="46"/>
      <w:bookmarkEnd w:id="47"/>
      <w:bookmarkEnd w:id="48"/>
      <w:bookmarkEnd w:id="49"/>
      <w:bookmarkEnd w:id="50"/>
      <w:bookmarkEnd w:id="51"/>
      <w:bookmarkEnd w:id="52"/>
      <w:bookmarkEnd w:id="53"/>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在中国境内注册的独立法人企业，具有独立承担民事责任的能力；具有良好的商业信誉和健全的财务会计制度；具有履行合同所必需的设备和专业技术能力；有依法缴纳税收和社会保障资金的良好记录；参加本次招标活动前三年内，在经营活动中没有重大违法记录。</w:t>
      </w:r>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投标人未被列入失信被执行人、重大税收违法案件当事人名单、政府采购严重违法失信行为记录名单(以“信用中国”网站 (www.creditchina.gov.cn)、“中国政府采购网” (www.ccgp.gov.cn)等查询结果为准)。</w:t>
      </w:r>
    </w:p>
    <w:p>
      <w:pPr>
        <w:pStyle w:val="3"/>
        <w:pageBreakBefore w:val="0"/>
        <w:kinsoku/>
        <w:wordWrap/>
        <w:overflowPunct/>
        <w:topLinePunct w:val="0"/>
        <w:autoSpaceDE/>
        <w:autoSpaceDN/>
        <w:bidi w:val="0"/>
        <w:spacing w:before="0" w:after="0" w:line="360" w:lineRule="auto"/>
        <w:ind w:firstLine="643" w:firstLineChars="200"/>
        <w:textAlignment w:val="auto"/>
        <w:rPr>
          <w:rFonts w:hint="eastAsia" w:ascii="宋体" w:hAnsi="宋体" w:cs="宋体"/>
          <w:highlight w:val="none"/>
        </w:rPr>
      </w:pPr>
      <w:bookmarkStart w:id="54" w:name="_Toc18061"/>
      <w:bookmarkStart w:id="55" w:name="_Toc15433"/>
      <w:bookmarkStart w:id="56" w:name="_Toc18325"/>
      <w:bookmarkStart w:id="57" w:name="_Toc13083"/>
      <w:bookmarkStart w:id="58" w:name="_Toc5696"/>
      <w:bookmarkStart w:id="59" w:name="_Toc11052"/>
      <w:bookmarkStart w:id="60" w:name="_Toc26597"/>
      <w:bookmarkStart w:id="61" w:name="_Toc5854"/>
      <w:r>
        <w:rPr>
          <w:rFonts w:hint="eastAsia" w:ascii="宋体" w:hAnsi="宋体" w:cs="宋体"/>
          <w:highlight w:val="none"/>
        </w:rPr>
        <w:t>六、投标人报名时间及地点等</w:t>
      </w:r>
      <w:bookmarkEnd w:id="54"/>
      <w:bookmarkEnd w:id="55"/>
      <w:bookmarkEnd w:id="56"/>
      <w:bookmarkEnd w:id="57"/>
      <w:bookmarkEnd w:id="58"/>
      <w:bookmarkEnd w:id="59"/>
      <w:bookmarkEnd w:id="60"/>
      <w:bookmarkEnd w:id="61"/>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招标文件发售时间：</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2024 </w:t>
      </w:r>
      <w:r>
        <w:rPr>
          <w:rFonts w:hint="eastAsia" w:ascii="宋体" w:hAnsi="宋体" w:eastAsia="宋体" w:cs="宋体"/>
          <w:color w:val="000000" w:themeColor="text1"/>
          <w:kern w:val="0"/>
          <w:szCs w:val="21"/>
          <w:highlight w:val="none"/>
          <w14:textFill>
            <w14:solidFill>
              <w14:schemeClr w14:val="tx1"/>
            </w14:solidFill>
          </w14:textFill>
        </w:rPr>
        <w:t>年</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4 </w:t>
      </w:r>
      <w:r>
        <w:rPr>
          <w:rFonts w:hint="eastAsia" w:ascii="宋体" w:hAnsi="宋体" w:eastAsia="宋体" w:cs="宋体"/>
          <w:color w:val="000000" w:themeColor="text1"/>
          <w:kern w:val="0"/>
          <w:szCs w:val="21"/>
          <w:highlight w:val="none"/>
          <w14:textFill>
            <w14:solidFill>
              <w14:schemeClr w14:val="tx1"/>
            </w14:solidFill>
          </w14:textFill>
        </w:rPr>
        <w:t>月</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30 </w:t>
      </w:r>
      <w:r>
        <w:rPr>
          <w:rFonts w:hint="eastAsia" w:ascii="宋体" w:hAnsi="宋体" w:eastAsia="宋体" w:cs="宋体"/>
          <w:color w:val="000000" w:themeColor="text1"/>
          <w:kern w:val="0"/>
          <w:szCs w:val="21"/>
          <w:highlight w:val="none"/>
          <w14:textFill>
            <w14:solidFill>
              <w14:schemeClr w14:val="tx1"/>
            </w14:solidFill>
          </w14:textFill>
        </w:rPr>
        <w:t>日</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Cs w:val="21"/>
          <w:highlight w:val="none"/>
          <w14:textFill>
            <w14:solidFill>
              <w14:schemeClr w14:val="tx1"/>
            </w14:solidFill>
          </w14:textFill>
        </w:rPr>
        <w:t>至</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2024 </w:t>
      </w:r>
      <w:r>
        <w:rPr>
          <w:rFonts w:hint="eastAsia" w:ascii="宋体" w:hAnsi="宋体" w:eastAsia="宋体" w:cs="宋体"/>
          <w:color w:val="000000" w:themeColor="text1"/>
          <w:kern w:val="0"/>
          <w:szCs w:val="21"/>
          <w:highlight w:val="none"/>
          <w14:textFill>
            <w14:solidFill>
              <w14:schemeClr w14:val="tx1"/>
            </w14:solidFill>
          </w14:textFill>
        </w:rPr>
        <w:t>年</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5 </w:t>
      </w:r>
      <w:r>
        <w:rPr>
          <w:rFonts w:hint="eastAsia" w:ascii="宋体" w:hAnsi="宋体" w:eastAsia="宋体" w:cs="宋体"/>
          <w:color w:val="000000" w:themeColor="text1"/>
          <w:kern w:val="0"/>
          <w:szCs w:val="21"/>
          <w:highlight w:val="none"/>
          <w14:textFill>
            <w14:solidFill>
              <w14:schemeClr w14:val="tx1"/>
            </w14:solidFill>
          </w14:textFill>
        </w:rPr>
        <w:t>月</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13 </w:t>
      </w:r>
      <w:r>
        <w:rPr>
          <w:rFonts w:hint="eastAsia" w:ascii="宋体" w:hAnsi="宋体" w:eastAsia="宋体" w:cs="宋体"/>
          <w:color w:val="000000" w:themeColor="text1"/>
          <w:kern w:val="0"/>
          <w:szCs w:val="21"/>
          <w:highlight w:val="none"/>
          <w14:textFill>
            <w14:solidFill>
              <w14:schemeClr w14:val="tx1"/>
            </w14:solidFill>
          </w14:textFill>
        </w:rPr>
        <w:t>日</w:t>
      </w:r>
      <w:r>
        <w:rPr>
          <w:rFonts w:hint="eastAsia" w:ascii="宋体" w:hAnsi="宋体" w:eastAsia="宋体" w:cs="宋体"/>
          <w:color w:val="000000" w:themeColor="text1"/>
          <w:kern w:val="0"/>
          <w:szCs w:val="21"/>
          <w14:textFill>
            <w14:solidFill>
              <w14:schemeClr w14:val="tx1"/>
            </w14:solidFill>
          </w14:textFill>
        </w:rPr>
        <w:t>（双休日及法定节假日除外）</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上午：</w:t>
      </w:r>
      <w:r>
        <w:rPr>
          <w:rFonts w:hint="eastAsia" w:ascii="宋体" w:hAnsi="宋体" w:eastAsia="宋体" w:cs="宋体"/>
          <w:color w:val="000000" w:themeColor="text1"/>
          <w:kern w:val="0"/>
          <w:szCs w:val="21"/>
          <w:lang w:val="en-US" w:eastAsia="zh-CN"/>
          <w14:textFill>
            <w14:solidFill>
              <w14:schemeClr w14:val="tx1"/>
            </w14:solidFill>
          </w14:textFill>
        </w:rPr>
        <w:t>8</w:t>
      </w:r>
      <w:r>
        <w:rPr>
          <w:rFonts w:hint="eastAsia" w:ascii="宋体" w:hAnsi="宋体" w:eastAsia="宋体" w:cs="宋体"/>
          <w:color w:val="000000" w:themeColor="text1"/>
          <w:kern w:val="0"/>
          <w:szCs w:val="21"/>
          <w14:textFill>
            <w14:solidFill>
              <w14:schemeClr w14:val="tx1"/>
            </w14:solidFill>
          </w14:textFill>
        </w:rPr>
        <w:t>:00至11:</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0 下午：13:</w:t>
      </w:r>
      <w:r>
        <w:rPr>
          <w:rFonts w:hint="eastAsia" w:ascii="宋体" w:hAnsi="宋体" w:eastAsia="宋体" w:cs="宋体"/>
          <w:color w:val="000000" w:themeColor="text1"/>
          <w:kern w:val="0"/>
          <w:szCs w:val="21"/>
          <w:lang w:val="en-US" w:eastAsia="zh-CN"/>
          <w14:textFill>
            <w14:solidFill>
              <w14:schemeClr w14:val="tx1"/>
            </w14:solidFill>
          </w14:textFill>
        </w:rPr>
        <w:t>00</w:t>
      </w:r>
      <w:r>
        <w:rPr>
          <w:rFonts w:hint="eastAsia"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kern w:val="0"/>
          <w:szCs w:val="21"/>
          <w:lang w:val="en-US" w:eastAsia="zh-CN"/>
          <w14:textFill>
            <w14:solidFill>
              <w14:schemeClr w14:val="tx1"/>
            </w14:solidFill>
          </w14:textFill>
        </w:rPr>
        <w:t>7</w:t>
      </w:r>
      <w:r>
        <w:rPr>
          <w:rFonts w:hint="eastAsia"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0</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地点：</w:t>
      </w: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浙江亿利达风机股份有限公司厂区内</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投标人报名方式：现场报名或网上报名</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获取标书时须提交的文件资料：</w:t>
      </w:r>
    </w:p>
    <w:p>
      <w:pPr>
        <w:keepNext w:val="0"/>
        <w:keepLines w:val="0"/>
        <w:pageBreakBefore w:val="0"/>
        <w:widowControl/>
        <w:kinsoku/>
        <w:wordWrap/>
        <w:overflowPunct/>
        <w:topLinePunct w:val="0"/>
        <w:autoSpaceDE/>
        <w:autoSpaceDN/>
        <w:bidi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lang w:val="en-US" w:eastAsia="zh-CN"/>
          <w14:textFill>
            <w14:solidFill>
              <w14:schemeClr w14:val="tx1"/>
            </w14:solidFill>
          </w14:textFill>
        </w:rPr>
        <w:t>一</w:t>
      </w:r>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现场报名需提交的文件资料:营业执照复印件及增值税开票信息(开具专用发票需要提供)、</w:t>
      </w:r>
      <w:r>
        <w:rPr>
          <w:rFonts w:hint="eastAsia" w:ascii="宋体" w:hAnsi="宋体" w:eastAsia="宋体" w:cs="宋体"/>
          <w:color w:val="000000" w:themeColor="text1"/>
          <w:kern w:val="0"/>
          <w:szCs w:val="21"/>
          <w:lang w:eastAsia="zh-CN"/>
          <w14:textFill>
            <w14:solidFill>
              <w14:schemeClr w14:val="tx1"/>
            </w14:solidFill>
          </w14:textFill>
        </w:rPr>
        <w:t>授权委托书</w:t>
      </w:r>
      <w:r>
        <w:rPr>
          <w:rFonts w:hint="eastAsia" w:ascii="宋体" w:hAnsi="宋体" w:eastAsia="宋体" w:cs="宋体"/>
          <w:color w:val="000000" w:themeColor="text1"/>
          <w:kern w:val="0"/>
          <w:szCs w:val="21"/>
          <w14:textFill>
            <w14:solidFill>
              <w14:schemeClr w14:val="tx1"/>
            </w14:solidFill>
          </w14:textFill>
        </w:rPr>
        <w:t>及其身份证复印件；</w:t>
      </w:r>
    </w:p>
    <w:p>
      <w:pPr>
        <w:keepNext w:val="0"/>
        <w:keepLines w:val="0"/>
        <w:pageBreakBefore w:val="0"/>
        <w:widowControl/>
        <w:kinsoku/>
        <w:wordWrap/>
        <w:overflowPunct/>
        <w:topLinePunct w:val="0"/>
        <w:autoSpaceDE/>
        <w:autoSpaceDN/>
        <w:bidi w:val="0"/>
        <w:snapToGrid w:val="0"/>
        <w:spacing w:line="360" w:lineRule="auto"/>
        <w:ind w:firstLine="420" w:firstLineChars="200"/>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二</w:t>
      </w:r>
      <w:r>
        <w:rPr>
          <w:rFonts w:hint="eastAsia" w:ascii="宋体" w:hAnsi="宋体" w:eastAsia="宋体" w:cs="宋体"/>
          <w:color w:val="000000" w:themeColor="text1"/>
          <w14:textFill>
            <w14:solidFill>
              <w14:schemeClr w14:val="tx1"/>
            </w14:solidFill>
          </w14:textFill>
        </w:rPr>
        <w:t>）网上报名(推荐）</w:t>
      </w:r>
    </w:p>
    <w:p>
      <w:pPr>
        <w:keepNext w:val="0"/>
        <w:keepLines w:val="0"/>
        <w:pageBreakBefore w:val="0"/>
        <w:widowControl/>
        <w:numPr>
          <w:ilvl w:val="0"/>
          <w:numId w:val="6"/>
        </w:numPr>
        <w:kinsoku/>
        <w:wordWrap/>
        <w:overflowPunct/>
        <w:topLinePunct w:val="0"/>
        <w:autoSpaceDE/>
        <w:autoSpaceDN/>
        <w:bidi w:val="0"/>
        <w:snapToGrid w:val="0"/>
        <w:spacing w:line="360" w:lineRule="auto"/>
        <w:ind w:left="0"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本项目接受网上报名； </w:t>
      </w:r>
    </w:p>
    <w:p>
      <w:pPr>
        <w:keepNext w:val="0"/>
        <w:keepLines w:val="0"/>
        <w:pageBreakBefore w:val="0"/>
        <w:widowControl/>
        <w:numPr>
          <w:ilvl w:val="0"/>
          <w:numId w:val="6"/>
        </w:numPr>
        <w:kinsoku/>
        <w:wordWrap/>
        <w:overflowPunct/>
        <w:topLinePunct w:val="0"/>
        <w:autoSpaceDE/>
        <w:autoSpaceDN/>
        <w:bidi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网上报名需提交的文件资料:营业执照复印件及增值税开票信息、</w:t>
      </w:r>
      <w:r>
        <w:rPr>
          <w:rFonts w:hint="eastAsia" w:ascii="宋体" w:hAnsi="宋体" w:eastAsia="宋体" w:cs="宋体"/>
          <w:color w:val="000000" w:themeColor="text1"/>
          <w:szCs w:val="21"/>
          <w:lang w:eastAsia="zh-CN"/>
          <w14:textFill>
            <w14:solidFill>
              <w14:schemeClr w14:val="tx1"/>
            </w14:solidFill>
          </w14:textFill>
        </w:rPr>
        <w:t>授权委托书</w:t>
      </w:r>
      <w:r>
        <w:rPr>
          <w:rFonts w:hint="eastAsia" w:ascii="宋体" w:hAnsi="宋体" w:eastAsia="宋体" w:cs="宋体"/>
          <w:color w:val="000000" w:themeColor="text1"/>
          <w:szCs w:val="21"/>
          <w14:textFill>
            <w14:solidFill>
              <w14:schemeClr w14:val="tx1"/>
            </w14:solidFill>
          </w14:textFill>
        </w:rPr>
        <w:t>及其身份证复印件、联系人和联系方式；</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以上文件资料均需提供盖章扫描件；</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报名资料发送邮箱：</w:t>
      </w:r>
      <w:r>
        <w:rPr>
          <w:rFonts w:hint="eastAsia" w:ascii="宋体" w:hAnsi="宋体" w:eastAsia="宋体" w:cs="宋体"/>
          <w:color w:val="000000" w:themeColor="text1"/>
          <w:kern w:val="0"/>
          <w:szCs w:val="21"/>
          <w:lang w:val="en-US" w:eastAsia="zh-CN"/>
          <w14:textFill>
            <w14:solidFill>
              <w14:schemeClr w14:val="tx1"/>
            </w14:solidFill>
          </w14:textFill>
        </w:rPr>
        <w:t>chejieru</w:t>
      </w:r>
      <w:r>
        <w:rPr>
          <w:rFonts w:hint="eastAsia" w:ascii="宋体" w:hAnsi="宋体" w:eastAsia="宋体" w:cs="宋体"/>
          <w:color w:val="000000" w:themeColor="text1"/>
          <w:kern w:val="0"/>
          <w:szCs w:val="21"/>
          <w:highlight w:val="none"/>
          <w:lang w:val="en-US" w:eastAsia="zh-CN"/>
          <w14:textFill>
            <w14:solidFill>
              <w14:schemeClr w14:val="tx1"/>
            </w14:solidFill>
          </w14:textFill>
        </w:rPr>
        <w:t>@yilida.com</w:t>
      </w:r>
      <w:r>
        <w:rPr>
          <w:rFonts w:hint="eastAsia" w:ascii="宋体" w:hAnsi="宋体" w:eastAsia="宋体" w:cs="宋体"/>
          <w:color w:val="000000" w:themeColor="text1"/>
          <w:kern w:val="0"/>
          <w:szCs w:val="21"/>
          <w14:textFill>
            <w14:solidFill>
              <w14:schemeClr w14:val="tx1"/>
            </w14:solidFill>
          </w14:textFill>
        </w:rPr>
        <w:t>（仅为方便工作之用）。</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提示：招标</w:t>
      </w:r>
      <w:r>
        <w:rPr>
          <w:rFonts w:hint="eastAsia" w:ascii="宋体" w:hAnsi="宋体" w:eastAsia="宋体" w:cs="宋体"/>
          <w:color w:val="000000" w:themeColor="text1"/>
          <w:kern w:val="0"/>
          <w:szCs w:val="21"/>
          <w:lang w:val="en-US" w:eastAsia="zh-CN"/>
          <w14:textFill>
            <w14:solidFill>
              <w14:schemeClr w14:val="tx1"/>
            </w14:solidFill>
          </w14:textFill>
        </w:rPr>
        <w:t>单位</w:t>
      </w:r>
      <w:r>
        <w:rPr>
          <w:rFonts w:hint="eastAsia" w:ascii="宋体" w:hAnsi="宋体" w:eastAsia="宋体" w:cs="宋体"/>
          <w:color w:val="000000" w:themeColor="text1"/>
          <w:kern w:val="0"/>
          <w:szCs w:val="21"/>
          <w14:textFill>
            <w14:solidFill>
              <w14:schemeClr w14:val="tx1"/>
            </w14:solidFill>
          </w14:textFill>
        </w:rPr>
        <w:t>将拒绝接受非报名投标人的投标文件。</w:t>
      </w:r>
    </w:p>
    <w:p>
      <w:pPr>
        <w:pStyle w:val="3"/>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Chars="0" w:firstLine="640" w:firstLineChars="200"/>
        <w:jc w:val="both"/>
        <w:textAlignment w:val="auto"/>
        <w:rPr>
          <w:rStyle w:val="89"/>
          <w:rFonts w:hint="eastAsia" w:ascii="宋体" w:hAnsi="宋体" w:eastAsia="宋体" w:cs="宋体"/>
          <w:b w:val="0"/>
          <w:bCs w:val="0"/>
        </w:rPr>
      </w:pPr>
      <w:bookmarkStart w:id="62" w:name="_Toc26581"/>
      <w:bookmarkStart w:id="63" w:name="_Toc370"/>
      <w:bookmarkStart w:id="64" w:name="_Toc27417"/>
      <w:bookmarkStart w:id="65" w:name="_Toc15513"/>
      <w:bookmarkStart w:id="66" w:name="_Toc21207"/>
      <w:bookmarkStart w:id="67" w:name="_Toc15997"/>
      <w:bookmarkStart w:id="68" w:name="_Toc4456"/>
      <w:bookmarkStart w:id="69" w:name="_Toc10616"/>
      <w:r>
        <w:rPr>
          <w:rStyle w:val="89"/>
          <w:rFonts w:hint="eastAsia" w:ascii="宋体" w:hAnsi="宋体" w:eastAsia="宋体" w:cs="宋体"/>
          <w:b w:val="0"/>
          <w:bCs w:val="0"/>
        </w:rPr>
        <w:t>投标截止时间</w:t>
      </w:r>
      <w:bookmarkEnd w:id="62"/>
      <w:bookmarkEnd w:id="63"/>
      <w:bookmarkEnd w:id="64"/>
      <w:bookmarkEnd w:id="65"/>
      <w:bookmarkEnd w:id="66"/>
    </w:p>
    <w:bookmarkEnd w:id="67"/>
    <w:bookmarkEnd w:id="68"/>
    <w:bookmarkEnd w:id="69"/>
    <w:p>
      <w:pPr>
        <w:keepNext w:val="0"/>
        <w:keepLines w:val="0"/>
        <w:pageBreakBefore w:val="0"/>
        <w:widowControl w:val="0"/>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投标截止时间：</w:t>
      </w:r>
      <w:r>
        <w:rPr>
          <w:rFonts w:hint="eastAsia" w:ascii="宋体" w:hAnsi="宋体" w:eastAsia="宋体" w:cs="宋体"/>
          <w:b w:val="0"/>
          <w:bCs w:val="0"/>
          <w:color w:val="000000" w:themeColor="text1"/>
          <w:kern w:val="0"/>
          <w:szCs w:val="21"/>
          <w:highlight w:val="none"/>
          <w14:textFill>
            <w14:solidFill>
              <w14:schemeClr w14:val="tx1"/>
            </w14:solidFill>
          </w14:textFill>
        </w:rPr>
        <w:t>20</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24  </w:t>
      </w:r>
      <w:r>
        <w:rPr>
          <w:rFonts w:hint="eastAsia" w:ascii="宋体" w:hAnsi="宋体" w:eastAsia="宋体" w:cs="宋体"/>
          <w:b w:val="0"/>
          <w:bCs w:val="0"/>
          <w:color w:val="000000" w:themeColor="text1"/>
          <w:kern w:val="0"/>
          <w:szCs w:val="21"/>
          <w:highlight w:val="none"/>
          <w14:textFill>
            <w14:solidFill>
              <w14:schemeClr w14:val="tx1"/>
            </w14:solidFill>
          </w14:textFill>
        </w:rPr>
        <w:t>年</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5 </w:t>
      </w:r>
      <w:r>
        <w:rPr>
          <w:rFonts w:hint="eastAsia" w:ascii="宋体" w:hAnsi="宋体" w:eastAsia="宋体" w:cs="宋体"/>
          <w:b w:val="0"/>
          <w:bCs w:val="0"/>
          <w:color w:val="000000" w:themeColor="text1"/>
          <w:kern w:val="0"/>
          <w:szCs w:val="21"/>
          <w:highlight w:val="none"/>
          <w14:textFill>
            <w14:solidFill>
              <w14:schemeClr w14:val="tx1"/>
            </w14:solidFill>
          </w14:textFill>
        </w:rPr>
        <w:t>月</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20 </w:t>
      </w:r>
      <w:r>
        <w:rPr>
          <w:rFonts w:hint="eastAsia" w:ascii="宋体" w:hAnsi="宋体" w:eastAsia="宋体" w:cs="宋体"/>
          <w:b w:val="0"/>
          <w:bCs w:val="0"/>
          <w:color w:val="000000" w:themeColor="text1"/>
          <w:kern w:val="0"/>
          <w:szCs w:val="21"/>
          <w:highlight w:val="none"/>
          <w14:textFill>
            <w14:solidFill>
              <w14:schemeClr w14:val="tx1"/>
            </w14:solidFill>
          </w14:textFill>
        </w:rPr>
        <w:t>日</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17 </w:t>
      </w:r>
      <w:r>
        <w:rPr>
          <w:rFonts w:hint="eastAsia" w:ascii="宋体" w:hAnsi="宋体" w:eastAsia="宋体" w:cs="宋体"/>
          <w:b w:val="0"/>
          <w:bCs w:val="0"/>
          <w:color w:val="000000" w:themeColor="text1"/>
          <w:kern w:val="0"/>
          <w:szCs w:val="21"/>
          <w:highlight w:val="none"/>
          <w14:textFill>
            <w14:solidFill>
              <w14:schemeClr w14:val="tx1"/>
            </w14:solidFill>
          </w14:textFill>
        </w:rPr>
        <w:t>时</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00 </w:t>
      </w:r>
      <w:r>
        <w:rPr>
          <w:rFonts w:hint="eastAsia" w:ascii="宋体" w:hAnsi="宋体" w:eastAsia="宋体" w:cs="宋体"/>
          <w:b w:val="0"/>
          <w:bCs w:val="0"/>
          <w:color w:val="000000" w:themeColor="text1"/>
          <w:kern w:val="0"/>
          <w:szCs w:val="21"/>
          <w:highlight w:val="none"/>
          <w14:textFill>
            <w14:solidFill>
              <w14:schemeClr w14:val="tx1"/>
            </w14:solidFill>
          </w14:textFill>
        </w:rPr>
        <w:t>分</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00 </w:t>
      </w:r>
      <w:r>
        <w:rPr>
          <w:rFonts w:hint="eastAsia" w:ascii="宋体" w:hAnsi="宋体" w:eastAsia="宋体" w:cs="宋体"/>
          <w:b w:val="0"/>
          <w:bCs w:val="0"/>
          <w:color w:val="000000" w:themeColor="text1"/>
          <w:kern w:val="0"/>
          <w:szCs w:val="21"/>
          <w:highlight w:val="none"/>
          <w14:textFill>
            <w14:solidFill>
              <w14:schemeClr w14:val="tx1"/>
            </w14:solidFill>
          </w14:textFill>
        </w:rPr>
        <w:t>秒</w:t>
      </w:r>
    </w:p>
    <w:p>
      <w:pPr>
        <w:pStyle w:val="3"/>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0" w:leftChars="0" w:firstLine="643" w:firstLineChars="200"/>
        <w:jc w:val="both"/>
        <w:textAlignment w:val="auto"/>
        <w:rPr>
          <w:rFonts w:hint="eastAsia" w:ascii="宋体" w:hAnsi="宋体" w:eastAsia="宋体" w:cs="宋体"/>
        </w:rPr>
      </w:pPr>
      <w:bookmarkStart w:id="70" w:name="_Toc11955"/>
      <w:bookmarkStart w:id="71" w:name="_Toc6738"/>
      <w:bookmarkStart w:id="72" w:name="_Toc12239"/>
      <w:bookmarkStart w:id="73" w:name="_Toc23198"/>
      <w:bookmarkStart w:id="74" w:name="_Toc27526"/>
      <w:bookmarkStart w:id="75" w:name="_Toc6963"/>
      <w:bookmarkStart w:id="76" w:name="_Toc3754"/>
      <w:bookmarkStart w:id="77" w:name="_Toc31732"/>
      <w:r>
        <w:rPr>
          <w:rFonts w:hint="eastAsia" w:ascii="宋体" w:hAnsi="宋体" w:eastAsia="宋体" w:cs="宋体"/>
        </w:rPr>
        <w:t>投标地点</w:t>
      </w:r>
      <w:bookmarkEnd w:id="70"/>
      <w:bookmarkEnd w:id="71"/>
      <w:bookmarkEnd w:id="72"/>
      <w:bookmarkEnd w:id="73"/>
      <w:bookmarkEnd w:id="74"/>
    </w:p>
    <w:bookmarkEnd w:id="75"/>
    <w:bookmarkEnd w:id="76"/>
    <w:bookmarkEnd w:id="77"/>
    <w:p>
      <w:pPr>
        <w:keepNext w:val="0"/>
        <w:keepLines w:val="0"/>
        <w:pageBreakBefore w:val="0"/>
        <w:widowControl w:val="0"/>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投标文件应通过邮寄的方式递交（</w:t>
      </w:r>
      <w:r>
        <w:rPr>
          <w:rFonts w:hint="eastAsia" w:ascii="宋体" w:hAnsi="宋体" w:eastAsia="宋体" w:cs="宋体"/>
          <w:b/>
          <w:color w:val="000000" w:themeColor="text1"/>
          <w:kern w:val="0"/>
          <w:szCs w:val="21"/>
          <w14:textFill>
            <w14:solidFill>
              <w14:schemeClr w14:val="tx1"/>
            </w14:solidFill>
          </w14:textFill>
        </w:rPr>
        <w:t>建议选择顺丰或EMS</w:t>
      </w:r>
      <w:r>
        <w:rPr>
          <w:rFonts w:hint="eastAsia" w:ascii="宋体" w:hAnsi="宋体" w:eastAsia="宋体" w:cs="宋体"/>
          <w:color w:val="000000" w:themeColor="text1"/>
          <w:kern w:val="0"/>
          <w:szCs w:val="21"/>
          <w14:textFill>
            <w14:solidFill>
              <w14:schemeClr w14:val="tx1"/>
            </w14:solidFill>
          </w14:textFill>
        </w:rPr>
        <w:t>）由邮寄快递公司</w:t>
      </w:r>
      <w:r>
        <w:rPr>
          <w:rFonts w:hint="eastAsia" w:ascii="宋体" w:hAnsi="宋体" w:eastAsia="宋体" w:cs="宋体"/>
          <w:bCs/>
          <w:color w:val="000000" w:themeColor="text1"/>
          <w:szCs w:val="21"/>
          <w14:textFill>
            <w14:solidFill>
              <w14:schemeClr w14:val="tx1"/>
            </w14:solidFill>
          </w14:textFill>
        </w:rPr>
        <w:t>在截止时间前直接送达</w:t>
      </w:r>
      <w:r>
        <w:rPr>
          <w:rFonts w:hint="eastAsia" w:ascii="宋体" w:hAnsi="宋体" w:eastAsia="宋体" w:cs="宋体"/>
          <w:b/>
          <w:bCs/>
          <w:color w:val="000000" w:themeColor="text1"/>
          <w:szCs w:val="21"/>
          <w14:textFill>
            <w14:solidFill>
              <w14:schemeClr w14:val="tx1"/>
            </w14:solidFill>
          </w14:textFill>
        </w:rPr>
        <w:t>浙江</w:t>
      </w:r>
      <w:r>
        <w:rPr>
          <w:rFonts w:hint="eastAsia" w:ascii="宋体" w:hAnsi="宋体" w:eastAsia="宋体" w:cs="宋体"/>
          <w:b/>
          <w:bCs/>
          <w:color w:val="000000" w:themeColor="text1"/>
          <w:szCs w:val="21"/>
          <w:lang w:val="en-US" w:eastAsia="zh-CN"/>
          <w14:textFill>
            <w14:solidFill>
              <w14:schemeClr w14:val="tx1"/>
            </w14:solidFill>
          </w14:textFill>
        </w:rPr>
        <w:t>亿利达风机股份有限公司</w:t>
      </w:r>
      <w:r>
        <w:rPr>
          <w:rFonts w:hint="eastAsia" w:ascii="宋体" w:hAnsi="宋体" w:eastAsia="宋体" w:cs="宋体"/>
          <w:b/>
          <w:bCs/>
          <w:color w:val="000000" w:themeColor="text1"/>
          <w:szCs w:val="21"/>
          <w14:textFill>
            <w14:solidFill>
              <w14:schemeClr w14:val="tx1"/>
            </w14:solidFill>
          </w14:textFill>
        </w:rPr>
        <w:t>（浙江省台州</w:t>
      </w:r>
      <w:r>
        <w:rPr>
          <w:rFonts w:hint="eastAsia" w:ascii="宋体" w:hAnsi="宋体" w:eastAsia="宋体" w:cs="宋体"/>
          <w:b/>
          <w:bCs/>
          <w:color w:val="000000" w:themeColor="text1"/>
          <w:szCs w:val="21"/>
          <w:lang w:val="en-US" w:eastAsia="zh-CN"/>
          <w14:textFill>
            <w14:solidFill>
              <w14:schemeClr w14:val="tx1"/>
            </w14:solidFill>
          </w14:textFill>
        </w:rPr>
        <w:t>市路桥区横街镇亿利达路2号</w:t>
      </w:r>
      <w:r>
        <w:rPr>
          <w:rFonts w:hint="eastAsia" w:ascii="宋体" w:hAnsi="宋体" w:eastAsia="宋体" w:cs="宋体"/>
          <w:b/>
          <w:bCs/>
          <w:color w:val="000000" w:themeColor="text1"/>
          <w:szCs w:val="21"/>
          <w14:textFill>
            <w14:solidFill>
              <w14:schemeClr w14:val="tx1"/>
            </w14:solidFill>
          </w14:textFill>
        </w:rPr>
        <w:t>）</w:t>
      </w:r>
      <w:r>
        <w:rPr>
          <w:rFonts w:hint="eastAsia" w:ascii="宋体" w:hAnsi="宋体" w:eastAsia="宋体" w:cs="宋体"/>
          <w:bCs/>
          <w:color w:val="000000" w:themeColor="text1"/>
          <w:szCs w:val="21"/>
          <w14:textFill>
            <w14:solidFill>
              <w14:schemeClr w14:val="tx1"/>
            </w14:solidFill>
          </w14:textFill>
        </w:rPr>
        <w:t>，</w:t>
      </w:r>
      <w:r>
        <w:rPr>
          <w:rFonts w:hint="eastAsia" w:ascii="宋体" w:hAnsi="宋体" w:eastAsia="宋体" w:cs="宋体"/>
          <w:b/>
          <w:bCs/>
          <w:color w:val="000000" w:themeColor="text1"/>
          <w:szCs w:val="21"/>
          <w14:textFill>
            <w14:solidFill>
              <w14:schemeClr w14:val="tx1"/>
            </w14:solidFill>
          </w14:textFill>
        </w:rPr>
        <w:t>类似顺丰同城等请谨慎选用</w:t>
      </w:r>
      <w:r>
        <w:rPr>
          <w:rFonts w:hint="eastAsia" w:ascii="宋体" w:hAnsi="宋体" w:eastAsia="宋体" w:cs="宋体"/>
          <w:bCs/>
          <w:color w:val="000000" w:themeColor="text1"/>
          <w:szCs w:val="21"/>
          <w14:textFill>
            <w14:solidFill>
              <w14:schemeClr w14:val="tx1"/>
            </w14:solidFill>
          </w14:textFill>
        </w:rPr>
        <w:t>。所有投标人须考虑物流等相关因素，合理计划邮寄时间，尽量在</w:t>
      </w:r>
      <w:r>
        <w:rPr>
          <w:rFonts w:hint="eastAsia" w:ascii="宋体" w:hAnsi="宋体" w:eastAsia="宋体" w:cs="宋体"/>
          <w:bCs/>
          <w:color w:val="000000" w:themeColor="text1"/>
          <w:szCs w:val="21"/>
          <w:lang w:val="en-US" w:eastAsia="zh-CN"/>
          <w14:textFill>
            <w14:solidFill>
              <w14:schemeClr w14:val="tx1"/>
            </w14:solidFill>
          </w14:textFill>
        </w:rPr>
        <w:t>投标</w:t>
      </w:r>
      <w:r>
        <w:rPr>
          <w:rFonts w:hint="eastAsia" w:ascii="宋体" w:hAnsi="宋体" w:eastAsia="宋体" w:cs="宋体"/>
          <w:bCs/>
          <w:color w:val="000000" w:themeColor="text1"/>
          <w:szCs w:val="21"/>
          <w14:textFill>
            <w14:solidFill>
              <w14:schemeClr w14:val="tx1"/>
            </w14:solidFill>
          </w14:textFill>
        </w:rPr>
        <w:t>截止时间</w:t>
      </w:r>
      <w:r>
        <w:rPr>
          <w:rFonts w:hint="eastAsia" w:ascii="宋体" w:hAnsi="宋体" w:eastAsia="宋体" w:cs="宋体"/>
          <w:b/>
          <w:bCs/>
          <w:color w:val="000000" w:themeColor="text1"/>
          <w:szCs w:val="21"/>
          <w:u w:val="single"/>
          <w14:textFill>
            <w14:solidFill>
              <w14:schemeClr w14:val="tx1"/>
            </w14:solidFill>
          </w14:textFill>
        </w:rPr>
        <w:t>前一个工作日内</w:t>
      </w:r>
      <w:r>
        <w:rPr>
          <w:rFonts w:hint="eastAsia" w:ascii="宋体" w:hAnsi="宋体" w:eastAsia="宋体" w:cs="宋体"/>
          <w:bCs/>
          <w:color w:val="000000" w:themeColor="text1"/>
          <w:szCs w:val="21"/>
          <w14:textFill>
            <w14:solidFill>
              <w14:schemeClr w14:val="tx1"/>
            </w14:solidFill>
          </w14:textFill>
        </w:rPr>
        <w:t>送到指定地点。在投标截止时间后送达的，将被视为“逾期送达”。特别说明：双休日和法定节假日不收件，投标人自行承担邮寄风险。</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请投标人确保投标文件在邮寄过程密封包装完好，因邮寄过程的密封破损造成不符合开标要求的，本招标人概不负责。建议投标文件密封包装后邮寄时再进行外包装。投标人应对邮寄快递响应文件的完整性、密封性负责。请按以下格式邮寄：</w:t>
      </w:r>
    </w:p>
    <w:p>
      <w:pPr>
        <w:keepNext w:val="0"/>
        <w:keepLines w:val="0"/>
        <w:pageBreakBefore w:val="0"/>
        <w:kinsoku/>
        <w:wordWrap/>
        <w:overflowPunct/>
        <w:topLinePunct w:val="0"/>
        <w:autoSpaceDE/>
        <w:autoSpaceDN/>
        <w:bidi w:val="0"/>
        <w:adjustRightInd w:val="0"/>
        <w:snapToGrid w:val="0"/>
        <w:spacing w:line="360" w:lineRule="auto"/>
        <w:ind w:leftChars="0" w:firstLine="422" w:firstLineChars="200"/>
        <w:jc w:val="both"/>
        <w:textAlignment w:val="auto"/>
        <w:rPr>
          <w:rFonts w:hint="eastAsia" w:ascii="宋体" w:hAnsi="宋体" w:eastAsia="宋体" w:cs="宋体"/>
          <w:b/>
          <w:bCs w:val="0"/>
          <w:color w:val="000000" w:themeColor="text1"/>
          <w:szCs w:val="21"/>
          <w14:textFill>
            <w14:solidFill>
              <w14:schemeClr w14:val="tx1"/>
            </w14:solidFill>
          </w14:textFill>
        </w:rPr>
      </w:pPr>
      <w:r>
        <w:rPr>
          <w:rFonts w:hint="eastAsia" w:ascii="宋体" w:hAnsi="宋体" w:eastAsia="宋体" w:cs="宋体"/>
          <w:b/>
          <w:bCs w:val="0"/>
          <w:color w:val="000000" w:themeColor="text1"/>
          <w:szCs w:val="21"/>
          <w14:textFill>
            <w14:solidFill>
              <w14:schemeClr w14:val="tx1"/>
            </w14:solidFill>
          </w14:textFill>
        </w:rPr>
        <w:t>收件单位（必填）：浙江</w:t>
      </w:r>
      <w:r>
        <w:rPr>
          <w:rFonts w:hint="eastAsia" w:ascii="宋体" w:hAnsi="宋体" w:eastAsia="宋体" w:cs="宋体"/>
          <w:b/>
          <w:bCs w:val="0"/>
          <w:color w:val="000000" w:themeColor="text1"/>
          <w:szCs w:val="21"/>
          <w:lang w:val="en-US" w:eastAsia="zh-CN"/>
          <w14:textFill>
            <w14:solidFill>
              <w14:schemeClr w14:val="tx1"/>
            </w14:solidFill>
          </w14:textFill>
        </w:rPr>
        <w:t>亿利达风机股份有限公司</w:t>
      </w:r>
      <w:r>
        <w:rPr>
          <w:rFonts w:hint="eastAsia" w:ascii="宋体" w:hAnsi="宋体" w:eastAsia="宋体" w:cs="宋体"/>
          <w:b/>
          <w:bCs w:val="0"/>
          <w:color w:val="000000" w:themeColor="text1"/>
          <w:szCs w:val="21"/>
          <w14:textFill>
            <w14:solidFill>
              <w14:schemeClr w14:val="tx1"/>
            </w14:solidFill>
          </w14:textFill>
        </w:rPr>
        <w:t>；地址：浙江省台州</w:t>
      </w:r>
      <w:r>
        <w:rPr>
          <w:rFonts w:hint="eastAsia" w:ascii="宋体" w:hAnsi="宋体" w:eastAsia="宋体" w:cs="宋体"/>
          <w:b/>
          <w:bCs w:val="0"/>
          <w:color w:val="000000" w:themeColor="text1"/>
          <w:szCs w:val="21"/>
          <w:lang w:val="en-US" w:eastAsia="zh-CN"/>
          <w14:textFill>
            <w14:solidFill>
              <w14:schemeClr w14:val="tx1"/>
            </w14:solidFill>
          </w14:textFill>
        </w:rPr>
        <w:t>市路桥区横街镇亿利达路2号</w:t>
      </w:r>
      <w:r>
        <w:rPr>
          <w:rFonts w:hint="eastAsia" w:ascii="宋体" w:hAnsi="宋体" w:eastAsia="宋体" w:cs="宋体"/>
          <w:b/>
          <w:bCs w:val="0"/>
          <w:color w:val="000000" w:themeColor="text1"/>
          <w:szCs w:val="21"/>
          <w14:textFill>
            <w14:solidFill>
              <w14:schemeClr w14:val="tx1"/>
            </w14:solidFill>
          </w14:textFill>
        </w:rPr>
        <w:t>；收件人：</w:t>
      </w:r>
      <w:r>
        <w:rPr>
          <w:rFonts w:hint="eastAsia" w:ascii="宋体" w:hAnsi="宋体" w:eastAsia="宋体" w:cs="宋体"/>
          <w:b/>
          <w:bCs w:val="0"/>
          <w:color w:val="000000" w:themeColor="text1"/>
          <w:szCs w:val="21"/>
          <w:highlight w:val="none"/>
          <w:lang w:val="en-US" w:eastAsia="zh-CN"/>
          <w14:textFill>
            <w14:solidFill>
              <w14:schemeClr w14:val="tx1"/>
            </w14:solidFill>
          </w14:textFill>
        </w:rPr>
        <w:t xml:space="preserve">车洁茹 </w:t>
      </w:r>
      <w:r>
        <w:rPr>
          <w:rFonts w:hint="eastAsia" w:ascii="宋体" w:hAnsi="宋体" w:eastAsia="宋体" w:cs="宋体"/>
          <w:b/>
          <w:bCs w:val="0"/>
          <w:color w:val="000000" w:themeColor="text1"/>
          <w:szCs w:val="21"/>
          <w14:textFill>
            <w14:solidFill>
              <w14:schemeClr w14:val="tx1"/>
            </w14:solidFill>
          </w14:textFill>
        </w:rPr>
        <w:t>；电话：</w:t>
      </w:r>
      <w:r>
        <w:rPr>
          <w:rFonts w:hint="eastAsia" w:ascii="宋体" w:hAnsi="宋体" w:eastAsia="宋体" w:cs="宋体"/>
          <w:b/>
          <w:bCs w:val="0"/>
          <w:color w:val="000000" w:themeColor="text1"/>
          <w:szCs w:val="21"/>
          <w:lang w:val="en-US" w:eastAsia="zh-CN"/>
          <w14:textFill>
            <w14:solidFill>
              <w14:schemeClr w14:val="tx1"/>
            </w14:solidFill>
          </w14:textFill>
        </w:rPr>
        <w:t xml:space="preserve">0576-82651228 </w:t>
      </w:r>
      <w:r>
        <w:rPr>
          <w:rFonts w:hint="eastAsia" w:ascii="宋体" w:hAnsi="宋体" w:eastAsia="宋体" w:cs="宋体"/>
          <w:b/>
          <w:bCs w:val="0"/>
          <w:color w:val="000000" w:themeColor="text1"/>
          <w:szCs w:val="21"/>
          <w14:textFill>
            <w14:solidFill>
              <w14:schemeClr w14:val="tx1"/>
            </w14:solidFill>
          </w14:textFill>
        </w:rPr>
        <w:t>。</w:t>
      </w:r>
    </w:p>
    <w:p>
      <w:pPr>
        <w:pStyle w:val="24"/>
        <w:keepNext w:val="0"/>
        <w:keepLines w:val="0"/>
        <w:pageBreakBefore w:val="0"/>
        <w:kinsoku/>
        <w:wordWrap/>
        <w:overflowPunct/>
        <w:topLinePunct w:val="0"/>
        <w:autoSpaceDE/>
        <w:autoSpaceDN/>
        <w:bidi w:val="0"/>
        <w:snapToGrid w:val="0"/>
        <w:spacing w:line="360" w:lineRule="auto"/>
        <w:ind w:leftChars="0" w:firstLine="420" w:firstLineChars="200"/>
        <w:jc w:val="both"/>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寄件单位（必填）：投标人公司全称；地址：xxx（邮编：xxx）；寄件人：公司报名人；电话：报名人手机。</w:t>
      </w:r>
    </w:p>
    <w:p>
      <w:pPr>
        <w:pStyle w:val="24"/>
        <w:keepNext w:val="0"/>
        <w:keepLines w:val="0"/>
        <w:pageBreakBefore w:val="0"/>
        <w:kinsoku/>
        <w:wordWrap/>
        <w:overflowPunct/>
        <w:topLinePunct w:val="0"/>
        <w:autoSpaceDE/>
        <w:autoSpaceDN/>
        <w:bidi w:val="0"/>
        <w:snapToGrid w:val="0"/>
        <w:spacing w:line="360" w:lineRule="auto"/>
        <w:ind w:leftChars="0" w:firstLine="422" w:firstLineChars="200"/>
        <w:jc w:val="both"/>
        <w:textAlignment w:val="auto"/>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请投标人在寄出纸质投标文件以后同步将PDF扫描版投标文件（盖章、签字件）压缩包加密后发送至“报名资料发送邮箱：</w:t>
      </w:r>
      <w:r>
        <w:rPr>
          <w:rFonts w:hint="eastAsia" w:ascii="宋体" w:hAnsi="宋体" w:eastAsia="宋体" w:cs="宋体"/>
          <w:b/>
          <w:color w:val="000000" w:themeColor="text1"/>
          <w:highlight w:val="none"/>
          <w:lang w:val="en-US" w:eastAsia="zh-CN"/>
          <w14:textFill>
            <w14:solidFill>
              <w14:schemeClr w14:val="tx1"/>
            </w14:solidFill>
          </w14:textFill>
        </w:rPr>
        <w:t xml:space="preserve"> chejieru@yilida.com </w:t>
      </w:r>
      <w:r>
        <w:rPr>
          <w:rFonts w:hint="eastAsia" w:ascii="宋体" w:hAnsi="宋体" w:eastAsia="宋体" w:cs="宋体"/>
          <w:b/>
          <w:color w:val="000000" w:themeColor="text1"/>
          <w:highlight w:val="none"/>
          <w14:textFill>
            <w14:solidFill>
              <w14:schemeClr w14:val="tx1"/>
            </w14:solidFill>
          </w14:textFill>
        </w:rPr>
        <w:t>”</w:t>
      </w:r>
      <w:r>
        <w:rPr>
          <w:rFonts w:hint="eastAsia" w:ascii="宋体" w:hAnsi="宋体" w:eastAsia="宋体" w:cs="宋体"/>
          <w:b/>
          <w:color w:val="000000" w:themeColor="text1"/>
          <w14:textFill>
            <w14:solidFill>
              <w14:schemeClr w14:val="tx1"/>
            </w14:solidFill>
          </w14:textFill>
        </w:rPr>
        <w:t>，投标人应当确保PDF扫描版投标文件（盖章、签字件）压缩包（加密</w:t>
      </w:r>
      <w:r>
        <w:rPr>
          <w:rFonts w:hint="eastAsia" w:ascii="宋体" w:hAnsi="宋体" w:eastAsia="宋体" w:cs="宋体"/>
          <w:b/>
          <w:color w:val="000000" w:themeColor="text1"/>
          <w:lang w:eastAsia="zh-CN"/>
          <w14:textFill>
            <w14:solidFill>
              <w14:schemeClr w14:val="tx1"/>
            </w14:solidFill>
          </w14:textFill>
        </w:rPr>
        <w:t>，</w:t>
      </w:r>
      <w:r>
        <w:rPr>
          <w:rFonts w:hint="eastAsia" w:ascii="宋体" w:hAnsi="宋体" w:eastAsia="宋体" w:cs="宋体"/>
          <w:b/>
          <w:color w:val="000000" w:themeColor="text1"/>
          <w:lang w:val="en-US" w:eastAsia="zh-CN"/>
          <w14:textFill>
            <w14:solidFill>
              <w14:schemeClr w14:val="tx1"/>
            </w14:solidFill>
          </w14:textFill>
        </w:rPr>
        <w:t>评审时电话获取密码</w:t>
      </w:r>
      <w:r>
        <w:rPr>
          <w:rFonts w:hint="eastAsia" w:ascii="宋体" w:hAnsi="宋体" w:eastAsia="宋体" w:cs="宋体"/>
          <w:b/>
          <w:color w:val="000000" w:themeColor="text1"/>
          <w14:textFill>
            <w14:solidFill>
              <w14:schemeClr w14:val="tx1"/>
            </w14:solidFill>
          </w14:textFill>
        </w:rPr>
        <w:t>）在“递交报价投标文件截止时间”之前发送到指定邮箱并与</w:t>
      </w:r>
      <w:r>
        <w:rPr>
          <w:rFonts w:hint="eastAsia" w:ascii="宋体" w:hAnsi="宋体" w:eastAsia="宋体" w:cs="宋体"/>
          <w:b/>
          <w:color w:val="000000" w:themeColor="text1"/>
          <w:lang w:val="en-US" w:eastAsia="zh-CN"/>
          <w14:textFill>
            <w14:solidFill>
              <w14:schemeClr w14:val="tx1"/>
            </w14:solidFill>
          </w14:textFill>
        </w:rPr>
        <w:t>招标单位</w:t>
      </w:r>
      <w:r>
        <w:rPr>
          <w:rFonts w:hint="eastAsia" w:ascii="宋体" w:hAnsi="宋体" w:eastAsia="宋体" w:cs="宋体"/>
          <w:b/>
          <w:color w:val="000000" w:themeColor="text1"/>
          <w14:textFill>
            <w14:solidFill>
              <w14:schemeClr w14:val="tx1"/>
            </w14:solidFill>
          </w14:textFill>
        </w:rPr>
        <w:t>确认。</w:t>
      </w:r>
    </w:p>
    <w:p>
      <w:pPr>
        <w:pStyle w:val="3"/>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0" w:leftChars="0" w:firstLine="643" w:firstLineChars="200"/>
        <w:jc w:val="both"/>
        <w:textAlignment w:val="auto"/>
        <w:rPr>
          <w:rFonts w:hint="eastAsia" w:ascii="宋体" w:hAnsi="宋体" w:eastAsia="宋体" w:cs="宋体"/>
        </w:rPr>
      </w:pPr>
      <w:bookmarkStart w:id="78" w:name="_Toc10426"/>
      <w:bookmarkStart w:id="79" w:name="_Toc3937"/>
      <w:bookmarkStart w:id="80" w:name="_Toc5392"/>
      <w:bookmarkStart w:id="81" w:name="_Toc30802"/>
      <w:bookmarkStart w:id="82" w:name="_Toc14488"/>
      <w:bookmarkStart w:id="83" w:name="_Toc29950"/>
      <w:bookmarkStart w:id="84" w:name="_Toc4323"/>
      <w:bookmarkStart w:id="85" w:name="_Toc3509"/>
      <w:r>
        <w:rPr>
          <w:rFonts w:hint="eastAsia" w:ascii="宋体" w:hAnsi="宋体" w:eastAsia="宋体" w:cs="宋体"/>
        </w:rPr>
        <w:t>开标时间</w:t>
      </w:r>
      <w:bookmarkEnd w:id="78"/>
      <w:bookmarkEnd w:id="79"/>
      <w:bookmarkEnd w:id="80"/>
      <w:bookmarkEnd w:id="81"/>
      <w:bookmarkEnd w:id="82"/>
    </w:p>
    <w:bookmarkEnd w:id="83"/>
    <w:bookmarkEnd w:id="84"/>
    <w:bookmarkEnd w:id="85"/>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2" w:firstLineChars="200"/>
        <w:jc w:val="both"/>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开标时间：</w:t>
      </w:r>
      <w:r>
        <w:rPr>
          <w:rFonts w:hint="eastAsia" w:ascii="宋体" w:hAnsi="宋体" w:eastAsia="宋体" w:cs="宋体"/>
          <w:b/>
          <w:bCs/>
          <w:color w:val="000000" w:themeColor="text1"/>
          <w:kern w:val="0"/>
          <w:szCs w:val="21"/>
          <w:highlight w:val="none"/>
          <w14:textFill>
            <w14:solidFill>
              <w14:schemeClr w14:val="tx1"/>
            </w14:solidFill>
          </w14:textFill>
        </w:rPr>
        <w:t>20</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24  </w:t>
      </w:r>
      <w:r>
        <w:rPr>
          <w:rFonts w:hint="eastAsia" w:ascii="宋体" w:hAnsi="宋体" w:eastAsia="宋体" w:cs="宋体"/>
          <w:b/>
          <w:bCs/>
          <w:color w:val="000000" w:themeColor="text1"/>
          <w:kern w:val="0"/>
          <w:szCs w:val="21"/>
          <w:highlight w:val="none"/>
          <w14:textFill>
            <w14:solidFill>
              <w14:schemeClr w14:val="tx1"/>
            </w14:solidFill>
          </w14:textFill>
        </w:rPr>
        <w:t>年</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5 </w:t>
      </w:r>
      <w:r>
        <w:rPr>
          <w:rFonts w:hint="eastAsia" w:ascii="宋体" w:hAnsi="宋体" w:eastAsia="宋体" w:cs="宋体"/>
          <w:b/>
          <w:bCs/>
          <w:color w:val="000000" w:themeColor="text1"/>
          <w:kern w:val="0"/>
          <w:szCs w:val="21"/>
          <w:highlight w:val="none"/>
          <w14:textFill>
            <w14:solidFill>
              <w14:schemeClr w14:val="tx1"/>
            </w14:solidFill>
          </w14:textFill>
        </w:rPr>
        <w:t>月</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22 </w:t>
      </w:r>
      <w:r>
        <w:rPr>
          <w:rFonts w:hint="eastAsia" w:ascii="宋体" w:hAnsi="宋体" w:eastAsia="宋体" w:cs="宋体"/>
          <w:b/>
          <w:bCs/>
          <w:color w:val="000000" w:themeColor="text1"/>
          <w:kern w:val="0"/>
          <w:szCs w:val="21"/>
          <w:highlight w:val="none"/>
          <w14:textFill>
            <w14:solidFill>
              <w14:schemeClr w14:val="tx1"/>
            </w14:solidFill>
          </w14:textFill>
        </w:rPr>
        <w:t>日</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8 </w:t>
      </w:r>
      <w:r>
        <w:rPr>
          <w:rFonts w:hint="eastAsia" w:ascii="宋体" w:hAnsi="宋体" w:eastAsia="宋体" w:cs="宋体"/>
          <w:b/>
          <w:bCs/>
          <w:color w:val="000000" w:themeColor="text1"/>
          <w:kern w:val="0"/>
          <w:szCs w:val="21"/>
          <w:highlight w:val="none"/>
          <w14:textFill>
            <w14:solidFill>
              <w14:schemeClr w14:val="tx1"/>
            </w14:solidFill>
          </w14:textFill>
        </w:rPr>
        <w:t>时</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30 </w:t>
      </w:r>
      <w:r>
        <w:rPr>
          <w:rFonts w:hint="eastAsia" w:ascii="宋体" w:hAnsi="宋体" w:eastAsia="宋体" w:cs="宋体"/>
          <w:b/>
          <w:bCs/>
          <w:color w:val="000000" w:themeColor="text1"/>
          <w:kern w:val="0"/>
          <w:szCs w:val="21"/>
          <w:highlight w:val="none"/>
          <w14:textFill>
            <w14:solidFill>
              <w14:schemeClr w14:val="tx1"/>
            </w14:solidFill>
          </w14:textFill>
        </w:rPr>
        <w:t>分</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00 </w:t>
      </w:r>
      <w:r>
        <w:rPr>
          <w:rFonts w:hint="eastAsia" w:ascii="宋体" w:hAnsi="宋体" w:eastAsia="宋体" w:cs="宋体"/>
          <w:b/>
          <w:bCs/>
          <w:color w:val="000000" w:themeColor="text1"/>
          <w:kern w:val="0"/>
          <w:szCs w:val="21"/>
          <w:highlight w:val="none"/>
          <w14:textFill>
            <w14:solidFill>
              <w14:schemeClr w14:val="tx1"/>
            </w14:solidFill>
          </w14:textFill>
        </w:rPr>
        <w:t>秒</w:t>
      </w:r>
    </w:p>
    <w:p>
      <w:pPr>
        <w:pStyle w:val="24"/>
        <w:keepNext w:val="0"/>
        <w:keepLines w:val="0"/>
        <w:pageBreakBefore w:val="0"/>
        <w:kinsoku/>
        <w:wordWrap/>
        <w:overflowPunct/>
        <w:topLinePunct w:val="0"/>
        <w:autoSpaceDE/>
        <w:autoSpaceDN/>
        <w:bidi w:val="0"/>
        <w:snapToGrid w:val="0"/>
        <w:spacing w:line="360" w:lineRule="auto"/>
        <w:ind w:leftChars="0" w:firstLine="422" w:firstLineChars="200"/>
        <w:jc w:val="both"/>
        <w:textAlignment w:val="auto"/>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如出现纸质投标文件无法送达的情况，则评标委员会将根据投标人的PDF扫描版投标文件（盖章、签字件）压缩包（加密</w:t>
      </w:r>
      <w:r>
        <w:rPr>
          <w:rFonts w:hint="eastAsia" w:ascii="宋体" w:hAnsi="宋体" w:eastAsia="宋体" w:cs="宋体"/>
          <w:b/>
          <w:color w:val="000000" w:themeColor="text1"/>
          <w:lang w:eastAsia="zh-CN"/>
          <w14:textFill>
            <w14:solidFill>
              <w14:schemeClr w14:val="tx1"/>
            </w14:solidFill>
          </w14:textFill>
        </w:rPr>
        <w:t>，</w:t>
      </w:r>
      <w:r>
        <w:rPr>
          <w:rFonts w:hint="eastAsia" w:ascii="宋体" w:hAnsi="宋体" w:eastAsia="宋体" w:cs="宋体"/>
          <w:b/>
          <w:color w:val="000000" w:themeColor="text1"/>
          <w:lang w:val="en-US" w:eastAsia="zh-CN"/>
          <w14:textFill>
            <w14:solidFill>
              <w14:schemeClr w14:val="tx1"/>
            </w14:solidFill>
          </w14:textFill>
        </w:rPr>
        <w:t>评审时电话获取密码</w:t>
      </w:r>
      <w:r>
        <w:rPr>
          <w:rFonts w:hint="eastAsia" w:ascii="宋体" w:hAnsi="宋体" w:eastAsia="宋体" w:cs="宋体"/>
          <w:b/>
          <w:color w:val="000000" w:themeColor="text1"/>
          <w14:textFill>
            <w14:solidFill>
              <w14:schemeClr w14:val="tx1"/>
            </w14:solidFill>
          </w14:textFill>
        </w:rPr>
        <w:t>）进行评审，投标人应当保证纸质文件与PDF扫描版投标文件（盖章、签字件）压缩包内容的一致性，后期如发现不一致的，招标人有权终止合同并追究投标人的法律责任。</w:t>
      </w:r>
    </w:p>
    <w:p>
      <w:pPr>
        <w:pStyle w:val="3"/>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0" w:leftChars="0" w:firstLine="643" w:firstLineChars="200"/>
        <w:jc w:val="both"/>
        <w:textAlignment w:val="auto"/>
        <w:rPr>
          <w:rFonts w:hint="eastAsia" w:ascii="宋体" w:hAnsi="宋体" w:eastAsia="宋体" w:cs="宋体"/>
        </w:rPr>
      </w:pPr>
      <w:bookmarkStart w:id="86" w:name="_Toc16781"/>
      <w:bookmarkStart w:id="87" w:name="_Toc11941"/>
      <w:bookmarkStart w:id="88" w:name="_Toc31147"/>
      <w:bookmarkStart w:id="89" w:name="_Toc9940"/>
      <w:bookmarkStart w:id="90" w:name="_Toc21807"/>
      <w:bookmarkStart w:id="91" w:name="_Toc26000"/>
      <w:bookmarkStart w:id="92" w:name="_Toc30063"/>
      <w:bookmarkStart w:id="93" w:name="_Toc7610"/>
      <w:r>
        <w:rPr>
          <w:rFonts w:hint="eastAsia" w:ascii="宋体" w:hAnsi="宋体" w:eastAsia="宋体" w:cs="宋体"/>
        </w:rPr>
        <w:t>开标地点</w:t>
      </w:r>
      <w:bookmarkEnd w:id="86"/>
      <w:bookmarkEnd w:id="87"/>
      <w:bookmarkEnd w:id="88"/>
      <w:bookmarkEnd w:id="89"/>
      <w:bookmarkEnd w:id="90"/>
    </w:p>
    <w:bookmarkEnd w:id="91"/>
    <w:bookmarkEnd w:id="92"/>
    <w:bookmarkEnd w:id="93"/>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开标地点：浙江亿利达风机股份有限公司厂区</w:t>
      </w:r>
    </w:p>
    <w:p>
      <w:pPr>
        <w:pStyle w:val="3"/>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94" w:name="_Toc27228"/>
      <w:bookmarkStart w:id="95" w:name="_Toc17192"/>
      <w:bookmarkStart w:id="96" w:name="_Toc13547"/>
      <w:bookmarkStart w:id="97" w:name="_Toc9189"/>
      <w:bookmarkStart w:id="98" w:name="_Toc30738"/>
      <w:bookmarkStart w:id="99" w:name="_Toc14735"/>
      <w:bookmarkStart w:id="100" w:name="_Toc4200"/>
      <w:bookmarkStart w:id="101" w:name="_Toc22640"/>
      <w:r>
        <w:rPr>
          <w:rFonts w:hint="eastAsia" w:ascii="宋体" w:hAnsi="宋体" w:eastAsia="宋体" w:cs="宋体"/>
        </w:rPr>
        <w:t>十一、投标保证金</w:t>
      </w:r>
      <w:bookmarkEnd w:id="94"/>
      <w:bookmarkEnd w:id="95"/>
      <w:bookmarkEnd w:id="96"/>
      <w:bookmarkEnd w:id="97"/>
      <w:bookmarkEnd w:id="98"/>
      <w:bookmarkEnd w:id="99"/>
      <w:bookmarkEnd w:id="100"/>
      <w:bookmarkEnd w:id="101"/>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投标保证金类型：投标保证金</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 w:val="0"/>
          <w:bCs/>
          <w:color w:val="000000" w:themeColor="text1"/>
          <w:kern w:val="0"/>
          <w:szCs w:val="21"/>
          <w:highlight w:val="none"/>
          <w14:textFill>
            <w14:solidFill>
              <w14:schemeClr w14:val="tx1"/>
            </w14:solidFill>
          </w14:textFill>
        </w:rPr>
      </w:pPr>
      <w:r>
        <w:rPr>
          <w:rFonts w:hint="eastAsia" w:ascii="宋体" w:hAnsi="宋体" w:eastAsia="宋体" w:cs="宋体"/>
          <w:b w:val="0"/>
          <w:bCs/>
          <w:color w:val="000000" w:themeColor="text1"/>
          <w:kern w:val="0"/>
          <w:szCs w:val="21"/>
          <w14:textFill>
            <w14:solidFill>
              <w14:schemeClr w14:val="tx1"/>
            </w14:solidFill>
          </w14:textFill>
        </w:rPr>
        <w:t>投标保证金</w:t>
      </w:r>
      <w:r>
        <w:rPr>
          <w:rFonts w:hint="eastAsia" w:ascii="宋体" w:hAnsi="宋体" w:eastAsia="宋体" w:cs="宋体"/>
          <w:b w:val="0"/>
          <w:bCs/>
          <w:color w:val="000000" w:themeColor="text1"/>
          <w:kern w:val="0"/>
          <w:szCs w:val="21"/>
          <w:highlight w:val="none"/>
          <w14:textFill>
            <w14:solidFill>
              <w14:schemeClr w14:val="tx1"/>
            </w14:solidFill>
          </w14:textFill>
        </w:rPr>
        <w:t>：</w:t>
      </w:r>
      <w:r>
        <w:rPr>
          <w:rFonts w:hint="eastAsia" w:ascii="宋体" w:hAnsi="宋体" w:eastAsia="宋体" w:cs="宋体"/>
          <w:b w:val="0"/>
          <w:bCs/>
          <w:color w:val="000000" w:themeColor="text1"/>
          <w:kern w:val="0"/>
          <w:szCs w:val="21"/>
          <w:highlight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保证金交付方式：汇票/支票/银行转账</w:t>
      </w:r>
    </w:p>
    <w:p>
      <w:pPr>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收款单位（户名）：浙江</w:t>
      </w:r>
      <w:r>
        <w:rPr>
          <w:rFonts w:hint="eastAsia" w:ascii="宋体" w:hAnsi="宋体" w:eastAsia="宋体" w:cs="宋体"/>
          <w:color w:val="000000" w:themeColor="text1"/>
          <w:kern w:val="0"/>
          <w:szCs w:val="21"/>
          <w:lang w:val="en-US" w:eastAsia="zh-CN"/>
          <w14:textFill>
            <w14:solidFill>
              <w14:schemeClr w14:val="tx1"/>
            </w14:solidFill>
          </w14:textFill>
        </w:rPr>
        <w:t>亿利达风机股份有限公司</w:t>
      </w:r>
    </w:p>
    <w:p>
      <w:pPr>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开户银行：</w:t>
      </w:r>
      <w:r>
        <w:rPr>
          <w:rFonts w:hint="eastAsia" w:ascii="宋体" w:hAnsi="宋体" w:eastAsia="宋体" w:cs="宋体"/>
          <w:color w:val="000000" w:themeColor="text1"/>
          <w:kern w:val="0"/>
          <w:szCs w:val="21"/>
          <w:highlight w:val="none"/>
          <w:lang w:val="en-US" w:eastAsia="zh-CN"/>
          <w14:textFill>
            <w14:solidFill>
              <w14:schemeClr w14:val="tx1"/>
            </w14:solidFill>
          </w14:textFill>
        </w:rPr>
        <w:t>建行台州市路桥支行</w:t>
      </w:r>
    </w:p>
    <w:p>
      <w:pPr>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银行账号：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33001665100050009443</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投标人应在投标截止时间前办妥投标保证金交纳手续。（</w:t>
      </w:r>
      <w:r>
        <w:rPr>
          <w:rFonts w:hint="eastAsia" w:ascii="宋体" w:hAnsi="宋体" w:eastAsia="宋体" w:cs="宋体"/>
          <w:b/>
          <w:color w:val="000000" w:themeColor="text1"/>
          <w14:textFill>
            <w14:solidFill>
              <w14:schemeClr w14:val="tx1"/>
            </w14:solidFill>
          </w14:textFill>
        </w:rPr>
        <w:t>从投标人单位账户汇入以上账户并写明项目编号</w:t>
      </w:r>
      <w:r>
        <w:rPr>
          <w:rFonts w:hint="eastAsia" w:ascii="宋体" w:hAnsi="宋体" w:eastAsia="宋体" w:cs="宋体"/>
          <w:b/>
          <w:color w:val="000000" w:themeColor="text1"/>
          <w:kern w:val="0"/>
          <w:szCs w:val="21"/>
          <w14:textFill>
            <w14:solidFill>
              <w14:schemeClr w14:val="tx1"/>
            </w14:solidFill>
          </w14:textFill>
        </w:rPr>
        <w:t>）</w:t>
      </w:r>
    </w:p>
    <w:p>
      <w:pPr>
        <w:pStyle w:val="3"/>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02" w:name="_Toc9679"/>
      <w:bookmarkStart w:id="103" w:name="_Toc7572"/>
      <w:bookmarkStart w:id="104" w:name="_Toc24551"/>
      <w:bookmarkStart w:id="105" w:name="_Toc28341"/>
      <w:bookmarkStart w:id="106" w:name="_Toc22095"/>
      <w:bookmarkStart w:id="107" w:name="_Toc13614"/>
      <w:bookmarkStart w:id="108" w:name="_Toc25132"/>
      <w:bookmarkStart w:id="109" w:name="_Toc29777"/>
      <w:r>
        <w:rPr>
          <w:rFonts w:hint="eastAsia" w:ascii="宋体" w:hAnsi="宋体" w:eastAsia="宋体" w:cs="宋体"/>
          <w:lang w:val="en-US" w:eastAsia="zh-CN"/>
        </w:rPr>
        <w:t>十二、</w:t>
      </w:r>
      <w:r>
        <w:rPr>
          <w:rFonts w:hint="eastAsia" w:ascii="宋体" w:hAnsi="宋体" w:eastAsia="宋体" w:cs="宋体"/>
        </w:rPr>
        <w:t>异议和投诉</w:t>
      </w:r>
      <w:bookmarkEnd w:id="102"/>
      <w:bookmarkEnd w:id="103"/>
      <w:bookmarkEnd w:id="104"/>
      <w:bookmarkEnd w:id="105"/>
      <w:bookmarkEnd w:id="106"/>
    </w:p>
    <w:bookmarkEnd w:id="107"/>
    <w:bookmarkEnd w:id="108"/>
    <w:bookmarkEnd w:id="109"/>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w:t>
      </w:r>
      <w:r>
        <w:rPr>
          <w:rFonts w:hint="eastAsia" w:ascii="宋体" w:hAnsi="宋体" w:eastAsia="宋体" w:cs="宋体"/>
          <w:color w:val="000000" w:themeColor="text1"/>
          <w:kern w:val="0"/>
          <w:szCs w:val="21"/>
          <w14:textFill>
            <w14:solidFill>
              <w14:schemeClr w14:val="tx1"/>
            </w14:solidFill>
          </w14:textFill>
        </w:rPr>
        <w:t>投标人</w:t>
      </w:r>
      <w:r>
        <w:rPr>
          <w:rFonts w:hint="eastAsia" w:ascii="宋体" w:hAnsi="宋体" w:eastAsia="宋体" w:cs="宋体"/>
          <w:color w:val="000000" w:themeColor="text1"/>
          <w:szCs w:val="21"/>
          <w14:textFill>
            <w14:solidFill>
              <w14:schemeClr w14:val="tx1"/>
            </w14:solidFill>
          </w14:textFill>
        </w:rPr>
        <w:t>对招标文件有异议的，应当在投标截止时间</w:t>
      </w:r>
      <w:r>
        <w:rPr>
          <w:rFonts w:hint="eastAsia" w:ascii="宋体" w:hAnsi="宋体" w:eastAsia="宋体" w:cs="宋体"/>
          <w:color w:val="000000" w:themeColor="text1"/>
          <w:szCs w:val="21"/>
          <w:lang w:val="en-US" w:eastAsia="zh-CN"/>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日前向招标人提出；</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2.</w:t>
      </w:r>
      <w:r>
        <w:rPr>
          <w:rFonts w:hint="eastAsia" w:ascii="宋体" w:hAnsi="宋体" w:eastAsia="宋体" w:cs="宋体"/>
          <w:color w:val="000000" w:themeColor="text1"/>
          <w:kern w:val="0"/>
          <w:szCs w:val="21"/>
          <w14:textFill>
            <w14:solidFill>
              <w14:schemeClr w14:val="tx1"/>
            </w14:solidFill>
          </w14:textFill>
        </w:rPr>
        <w:t>投标人对评标结果有异议的，应当在中标候选人公示期间</w:t>
      </w:r>
      <w:r>
        <w:rPr>
          <w:rFonts w:hint="eastAsia" w:ascii="宋体" w:hAnsi="宋体" w:eastAsia="宋体" w:cs="宋体"/>
          <w:color w:val="000000" w:themeColor="text1"/>
          <w:szCs w:val="21"/>
          <w14:textFill>
            <w14:solidFill>
              <w14:schemeClr w14:val="tx1"/>
            </w14:solidFill>
          </w14:textFill>
        </w:rPr>
        <w:t>向招标人提出</w:t>
      </w:r>
      <w:r>
        <w:rPr>
          <w:rFonts w:hint="eastAsia" w:ascii="宋体" w:hAnsi="宋体" w:eastAsia="宋体" w:cs="宋体"/>
          <w:color w:val="000000" w:themeColor="text1"/>
          <w:kern w:val="0"/>
          <w:szCs w:val="21"/>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投标人对招标人的异议答复不满意</w:t>
      </w:r>
      <w:r>
        <w:rPr>
          <w:rFonts w:hint="eastAsia" w:ascii="宋体" w:hAnsi="宋体" w:eastAsia="宋体" w:cs="宋体"/>
          <w:color w:val="000000" w:themeColor="text1"/>
          <w:kern w:val="0"/>
          <w:szCs w:val="21"/>
          <w:lang w:val="en-US" w:eastAsia="zh-CN"/>
          <w14:textFill>
            <w14:solidFill>
              <w14:schemeClr w14:val="tx1"/>
            </w14:solidFill>
          </w14:textFill>
        </w:rPr>
        <w:t>或</w:t>
      </w:r>
      <w:r>
        <w:rPr>
          <w:rFonts w:hint="eastAsia" w:ascii="宋体" w:hAnsi="宋体" w:eastAsia="宋体" w:cs="宋体"/>
          <w:color w:val="000000" w:themeColor="text1"/>
          <w:kern w:val="0"/>
          <w:szCs w:val="21"/>
          <w14:textFill>
            <w14:solidFill>
              <w14:schemeClr w14:val="tx1"/>
            </w14:solidFill>
          </w14:textFill>
        </w:rPr>
        <w:t>未在规定时间（3个工作日）内作出答复的，可以在答复期满后</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日内</w:t>
      </w:r>
      <w:r>
        <w:rPr>
          <w:rFonts w:hint="eastAsia" w:ascii="宋体" w:hAnsi="宋体" w:eastAsia="宋体" w:cs="宋体"/>
          <w:color w:val="000000" w:themeColor="text1"/>
          <w:kern w:val="0"/>
          <w:szCs w:val="21"/>
          <w:lang w:val="en-US" w:eastAsia="zh-CN"/>
          <w14:textFill>
            <w14:solidFill>
              <w14:schemeClr w14:val="tx1"/>
            </w14:solidFill>
          </w14:textFill>
        </w:rPr>
        <w:t>向异议联系人</w:t>
      </w:r>
      <w:r>
        <w:rPr>
          <w:rFonts w:hint="eastAsia" w:ascii="宋体" w:hAnsi="宋体" w:eastAsia="宋体" w:cs="宋体"/>
          <w:color w:val="000000" w:themeColor="text1"/>
          <w:kern w:val="0"/>
          <w:szCs w:val="21"/>
          <w14:textFill>
            <w14:solidFill>
              <w14:schemeClr w14:val="tx1"/>
            </w14:solidFill>
          </w14:textFill>
        </w:rPr>
        <w:t>提出投诉。</w:t>
      </w:r>
    </w:p>
    <w:p>
      <w:pPr>
        <w:pStyle w:val="3"/>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10" w:name="_Toc32230"/>
      <w:bookmarkStart w:id="111" w:name="_Toc750"/>
      <w:bookmarkStart w:id="112" w:name="_Toc4476"/>
      <w:bookmarkStart w:id="113" w:name="_Toc28319"/>
      <w:bookmarkStart w:id="114" w:name="_Toc16170"/>
      <w:bookmarkStart w:id="115" w:name="_Toc20532"/>
      <w:bookmarkStart w:id="116" w:name="_Toc27253"/>
      <w:bookmarkStart w:id="117" w:name="_Toc19901"/>
      <w:r>
        <w:rPr>
          <w:rFonts w:hint="eastAsia" w:ascii="宋体" w:hAnsi="宋体" w:eastAsia="宋体" w:cs="宋体"/>
        </w:rPr>
        <w:t>十三、其他事项</w:t>
      </w:r>
      <w:bookmarkEnd w:id="110"/>
      <w:bookmarkEnd w:id="111"/>
      <w:bookmarkEnd w:id="112"/>
      <w:bookmarkEnd w:id="113"/>
      <w:bookmarkEnd w:id="114"/>
      <w:bookmarkEnd w:id="115"/>
      <w:bookmarkEnd w:id="116"/>
      <w:bookmarkEnd w:id="117"/>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1.异议受理地点：</w:t>
      </w: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w:t>
      </w:r>
      <w:r>
        <w:rPr>
          <w:rFonts w:hint="eastAsia" w:ascii="宋体" w:hAnsi="宋体" w:eastAsia="宋体" w:cs="宋体"/>
          <w:color w:val="000000" w:themeColor="text1"/>
          <w:kern w:val="0"/>
          <w:szCs w:val="21"/>
          <w14:textFill>
            <w14:solidFill>
              <w14:schemeClr w14:val="tx1"/>
            </w14:solidFill>
          </w14:textFill>
        </w:rPr>
        <w:t>；联系人：</w:t>
      </w:r>
      <w:r>
        <w:rPr>
          <w:rFonts w:hint="eastAsia" w:ascii="宋体" w:hAnsi="宋体" w:eastAsia="宋体" w:cs="宋体"/>
          <w:color w:val="000000" w:themeColor="text1"/>
          <w:kern w:val="0"/>
          <w:szCs w:val="21"/>
          <w:lang w:val="en-US" w:eastAsia="zh-CN"/>
          <w14:textFill>
            <w14:solidFill>
              <w14:schemeClr w14:val="tx1"/>
            </w14:solidFill>
          </w14:textFill>
        </w:rPr>
        <w:t>车洁茹</w:t>
      </w:r>
      <w:r>
        <w:rPr>
          <w:rFonts w:hint="eastAsia" w:ascii="宋体" w:hAnsi="宋体" w:eastAsia="宋体" w:cs="宋体"/>
          <w:color w:val="000000" w:themeColor="text1"/>
          <w:kern w:val="0"/>
          <w:szCs w:val="21"/>
          <w14:textFill>
            <w14:solidFill>
              <w14:schemeClr w14:val="tx1"/>
            </w14:solidFill>
          </w14:textFill>
        </w:rPr>
        <w:t>；联系电话</w:t>
      </w:r>
      <w:r>
        <w:rPr>
          <w:rFonts w:hint="eastAsia" w:ascii="宋体" w:hAnsi="宋体" w:eastAsia="宋体" w:cs="宋体"/>
          <w:color w:val="000000" w:themeColor="text1"/>
          <w:kern w:val="0"/>
          <w:szCs w:val="21"/>
          <w:highlight w:val="none"/>
          <w14:textFill>
            <w14:solidFill>
              <w14:schemeClr w14:val="tx1"/>
            </w14:solidFill>
          </w14:textFill>
        </w:rPr>
        <w:t>：</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0576-82651228 </w:t>
      </w:r>
      <w:r>
        <w:rPr>
          <w:rFonts w:hint="eastAsia" w:ascii="宋体" w:hAnsi="宋体" w:eastAsia="宋体" w:cs="宋体"/>
          <w:color w:val="000000" w:themeColor="text1"/>
          <w:kern w:val="0"/>
          <w:szCs w:val="21"/>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2.本项目资格审查方式：资格后审。</w:t>
      </w:r>
    </w:p>
    <w:p>
      <w:pPr>
        <w:pStyle w:val="3"/>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textAlignment w:val="auto"/>
        <w:rPr>
          <w:rFonts w:hint="eastAsia" w:ascii="宋体" w:hAnsi="宋体" w:cs="宋体"/>
        </w:rPr>
      </w:pPr>
      <w:bookmarkStart w:id="118" w:name="_Toc15215"/>
      <w:bookmarkStart w:id="119" w:name="_Toc25568"/>
      <w:bookmarkStart w:id="120" w:name="_Toc23114"/>
      <w:bookmarkStart w:id="121" w:name="_Toc6813"/>
      <w:bookmarkStart w:id="122" w:name="_Toc4481"/>
      <w:bookmarkStart w:id="123" w:name="_Toc30461"/>
      <w:bookmarkStart w:id="124" w:name="_Toc7548"/>
      <w:bookmarkStart w:id="125" w:name="_Toc15486"/>
      <w:r>
        <w:rPr>
          <w:rFonts w:hint="eastAsia" w:ascii="宋体" w:hAnsi="宋体" w:cs="宋体"/>
        </w:rPr>
        <w:t>十四、公告发布范围</w:t>
      </w:r>
      <w:bookmarkEnd w:id="118"/>
      <w:bookmarkEnd w:id="119"/>
      <w:bookmarkEnd w:id="120"/>
      <w:bookmarkEnd w:id="121"/>
      <w:bookmarkEnd w:id="122"/>
      <w:bookmarkEnd w:id="123"/>
      <w:bookmarkEnd w:id="124"/>
      <w:bookmarkEnd w:id="125"/>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公告发布范围:</w:t>
      </w:r>
      <w:r>
        <w:rPr>
          <w:rFonts w:hint="eastAsia" w:ascii="宋体" w:hAnsi="宋体" w:eastAsia="宋体" w:cs="宋体"/>
          <w:color w:val="000000" w:themeColor="text1"/>
          <w:kern w:val="0"/>
          <w:szCs w:val="21"/>
          <w:highlight w:val="none"/>
          <w14:textFill>
            <w14:solidFill>
              <w14:schemeClr w14:val="tx1"/>
            </w14:solidFill>
          </w14:textFill>
        </w:rPr>
        <w:t xml:space="preserve"> </w:t>
      </w:r>
      <w:r>
        <w:rPr>
          <w:rFonts w:hint="eastAsia" w:ascii="宋体" w:hAnsi="宋体" w:eastAsia="宋体" w:cs="宋体"/>
          <w:color w:val="000000" w:themeColor="text1"/>
          <w:kern w:val="0"/>
          <w:szCs w:val="21"/>
          <w:highlight w:val="none"/>
          <w:lang w:val="en-US" w:eastAsia="zh-CN"/>
          <w14:textFill>
            <w14:solidFill>
              <w14:schemeClr w14:val="tx1"/>
            </w14:solidFill>
          </w14:textFill>
        </w:rPr>
        <w:t>浙江亿利达风机股份有限公司官网（http://www.yilida.com/）</w:t>
      </w:r>
      <w:r>
        <w:rPr>
          <w:rFonts w:hint="eastAsia" w:ascii="宋体" w:hAnsi="宋体" w:eastAsia="宋体" w:cs="宋体"/>
          <w:color w:val="000000" w:themeColor="text1"/>
          <w:kern w:val="0"/>
          <w:szCs w:val="21"/>
          <w14:textFill>
            <w14:solidFill>
              <w14:schemeClr w14:val="tx1"/>
            </w14:solidFill>
          </w14:textFill>
        </w:rPr>
        <w:t xml:space="preserve">。 </w:t>
      </w:r>
    </w:p>
    <w:p>
      <w:pPr>
        <w:pStyle w:val="3"/>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26" w:name="_Toc8938"/>
      <w:bookmarkStart w:id="127" w:name="_Toc6673"/>
      <w:bookmarkStart w:id="128" w:name="_Toc25228"/>
      <w:bookmarkStart w:id="129" w:name="_Toc4624"/>
      <w:bookmarkStart w:id="130" w:name="_Toc18773"/>
      <w:bookmarkStart w:id="131" w:name="_Toc31344"/>
      <w:bookmarkStart w:id="132" w:name="_Toc24288"/>
      <w:bookmarkStart w:id="133" w:name="_Toc14475"/>
      <w:r>
        <w:rPr>
          <w:rFonts w:hint="eastAsia" w:ascii="宋体" w:hAnsi="宋体" w:eastAsia="宋体" w:cs="宋体"/>
        </w:rPr>
        <w:t>十五、联系方式</w:t>
      </w:r>
      <w:bookmarkEnd w:id="126"/>
      <w:bookmarkEnd w:id="127"/>
      <w:bookmarkEnd w:id="128"/>
      <w:bookmarkEnd w:id="129"/>
      <w:bookmarkEnd w:id="130"/>
      <w:bookmarkEnd w:id="131"/>
      <w:bookmarkEnd w:id="132"/>
      <w:bookmarkEnd w:id="133"/>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 w:val="0"/>
          <w:bCs/>
          <w:color w:val="000000" w:themeColor="text1"/>
          <w:kern w:val="0"/>
          <w:szCs w:val="21"/>
          <w14:textFill>
            <w14:solidFill>
              <w14:schemeClr w14:val="tx1"/>
            </w14:solidFill>
          </w14:textFill>
        </w:rPr>
      </w:pPr>
      <w:r>
        <w:rPr>
          <w:rFonts w:hint="eastAsia" w:ascii="宋体" w:hAnsi="宋体" w:eastAsia="宋体" w:cs="宋体"/>
          <w:b w:val="0"/>
          <w:bCs/>
          <w:color w:val="000000" w:themeColor="text1"/>
          <w:kern w:val="0"/>
          <w:szCs w:val="21"/>
          <w14:textFill>
            <w14:solidFill>
              <w14:schemeClr w14:val="tx1"/>
            </w14:solidFill>
          </w14:textFill>
        </w:rPr>
        <w:t>1</w:t>
      </w:r>
      <w:r>
        <w:rPr>
          <w:rFonts w:hint="eastAsia" w:ascii="宋体" w:hAnsi="宋体" w:eastAsia="宋体" w:cs="宋体"/>
          <w:b w:val="0"/>
          <w:bCs/>
          <w:color w:val="000000" w:themeColor="text1"/>
          <w:kern w:val="0"/>
          <w:szCs w:val="21"/>
          <w:lang w:eastAsia="zh-CN"/>
          <w14:textFill>
            <w14:solidFill>
              <w14:schemeClr w14:val="tx1"/>
            </w14:solidFill>
          </w14:textFill>
        </w:rPr>
        <w:t>.</w:t>
      </w:r>
      <w:r>
        <w:rPr>
          <w:rFonts w:hint="eastAsia" w:ascii="宋体" w:hAnsi="宋体" w:eastAsia="宋体" w:cs="宋体"/>
          <w:b w:val="0"/>
          <w:bCs/>
          <w:color w:val="000000" w:themeColor="text1"/>
          <w:kern w:val="0"/>
          <w:szCs w:val="21"/>
          <w14:textFill>
            <w14:solidFill>
              <w14:schemeClr w14:val="tx1"/>
            </w14:solidFill>
          </w14:textFill>
        </w:rPr>
        <w:t>招标人联系方式：</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招标</w:t>
      </w:r>
      <w:r>
        <w:rPr>
          <w:rFonts w:hint="eastAsia" w:ascii="宋体" w:hAnsi="宋体" w:eastAsia="宋体" w:cs="宋体"/>
          <w:color w:val="000000" w:themeColor="text1"/>
          <w:kern w:val="0"/>
          <w:szCs w:val="21"/>
          <w:lang w:val="en-US" w:eastAsia="zh-CN"/>
          <w14:textFill>
            <w14:solidFill>
              <w14:schemeClr w14:val="tx1"/>
            </w14:solidFill>
          </w14:textFill>
        </w:rPr>
        <w:t>联系</w:t>
      </w:r>
      <w:r>
        <w:rPr>
          <w:rFonts w:hint="eastAsia" w:ascii="宋体" w:hAnsi="宋体" w:eastAsia="宋体" w:cs="宋体"/>
          <w:color w:val="000000" w:themeColor="text1"/>
          <w:kern w:val="0"/>
          <w:szCs w:val="21"/>
          <w14:textFill>
            <w14:solidFill>
              <w14:schemeClr w14:val="tx1"/>
            </w14:solidFill>
          </w14:textFill>
        </w:rPr>
        <w:t>单位名称:</w:t>
      </w: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地址：浙江省台州</w:t>
      </w:r>
      <w:r>
        <w:rPr>
          <w:rFonts w:hint="eastAsia" w:ascii="宋体" w:hAnsi="宋体" w:eastAsia="宋体" w:cs="宋体"/>
          <w:color w:val="000000" w:themeColor="text1"/>
          <w:kern w:val="0"/>
          <w:szCs w:val="21"/>
          <w:lang w:val="en-US" w:eastAsia="zh-CN"/>
          <w14:textFill>
            <w14:solidFill>
              <w14:schemeClr w14:val="tx1"/>
            </w14:solidFill>
          </w14:textFill>
        </w:rPr>
        <w:t>市路桥区横街镇亿利达路2号</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szCs w:val="21"/>
          <w:highlight w:val="yellow"/>
          <w:lang w:val="en-US" w:eastAsia="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项目联系人（询问）</w:t>
      </w:r>
      <w:r>
        <w:rPr>
          <w:rFonts w:hint="eastAsia" w:ascii="宋体" w:hAnsi="宋体" w:eastAsia="宋体" w:cs="宋体"/>
          <w:color w:val="000000" w:themeColor="text1"/>
          <w:szCs w:val="21"/>
          <w:lang w:val="en-US" w:eastAsia="zh-CN"/>
          <w14:textFill>
            <w14:solidFill>
              <w14:schemeClr w14:val="tx1"/>
            </w14:solidFill>
          </w14:textFill>
        </w:rPr>
        <w:t xml:space="preserve">/异议联系人 </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车洁茹</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szCs w:val="21"/>
          <w:highlight w:val="yellow"/>
          <w:lang w:val="en-US" w:eastAsia="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项目联系方式（询问）</w:t>
      </w:r>
      <w:r>
        <w:rPr>
          <w:rFonts w:hint="eastAsia" w:ascii="宋体" w:hAnsi="宋体" w:eastAsia="宋体" w:cs="宋体"/>
          <w:color w:val="000000" w:themeColor="text1"/>
          <w:szCs w:val="21"/>
          <w:lang w:val="en-US" w:eastAsia="zh-CN"/>
          <w14:textFill>
            <w14:solidFill>
              <w14:schemeClr w14:val="tx1"/>
            </w14:solidFill>
          </w14:textFill>
        </w:rPr>
        <w:t>/异议联系方式</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0576-82651228</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bookmarkEnd w:id="11"/>
      <w:bookmarkEnd w:id="12"/>
      <w:bookmarkEnd w:id="13"/>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招标争议</w:t>
      </w:r>
      <w:r>
        <w:rPr>
          <w:rFonts w:hint="eastAsia" w:ascii="宋体" w:hAnsi="宋体" w:eastAsia="宋体" w:cs="宋体"/>
          <w:color w:val="000000" w:themeColor="text1"/>
          <w:kern w:val="0"/>
          <w:szCs w:val="21"/>
          <w:highlight w:val="none"/>
          <w:lang w:val="en-US" w:eastAsia="zh-CN"/>
          <w14:textFill>
            <w14:solidFill>
              <w14:schemeClr w14:val="tx1"/>
            </w14:solidFill>
          </w14:textFill>
        </w:rPr>
        <w:t>监督管理</w:t>
      </w:r>
      <w:r>
        <w:rPr>
          <w:rFonts w:hint="eastAsia" w:ascii="宋体" w:hAnsi="宋体" w:eastAsia="宋体" w:cs="宋体"/>
          <w:color w:val="000000" w:themeColor="text1"/>
          <w:kern w:val="0"/>
          <w:szCs w:val="21"/>
          <w:highlight w:val="none"/>
          <w14:textFill>
            <w14:solidFill>
              <w14:schemeClr w14:val="tx1"/>
            </w14:solidFill>
          </w14:textFill>
        </w:rPr>
        <w:t>部门联系方式：</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trike/>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招标争议监督管理部门</w:t>
      </w:r>
      <w:r>
        <w:rPr>
          <w:rFonts w:hint="eastAsia" w:ascii="宋体" w:hAnsi="宋体" w:eastAsia="宋体" w:cs="宋体"/>
          <w:color w:val="000000" w:themeColor="text1"/>
          <w:kern w:val="0"/>
          <w:szCs w:val="21"/>
          <w:highlight w:val="none"/>
          <w14:textFill>
            <w14:solidFill>
              <w14:schemeClr w14:val="tx1"/>
            </w14:solidFill>
          </w14:textFill>
        </w:rPr>
        <w:t>名称：</w:t>
      </w:r>
      <w:r>
        <w:rPr>
          <w:rFonts w:hint="eastAsia" w:ascii="宋体" w:hAnsi="宋体" w:eastAsia="宋体" w:cs="宋体"/>
          <w:color w:val="000000" w:themeColor="text1"/>
          <w:kern w:val="0"/>
          <w:szCs w:val="21"/>
          <w:highlight w:val="none"/>
          <w:lang w:val="en-US" w:eastAsia="zh-CN"/>
          <w14:textFill>
            <w14:solidFill>
              <w14:schemeClr w14:val="tx1"/>
            </w14:solidFill>
          </w14:textFill>
        </w:rPr>
        <w:t>浙江亿利达风机股份有限公司纪律检查室</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 xml:space="preserve">地址：台州市路桥区横街镇亿利达路2号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联系人：</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张超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电话：</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0576-82655152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邮箱：</w:t>
      </w:r>
      <w:r>
        <w:rPr>
          <w:rFonts w:hint="eastAsia" w:ascii="宋体" w:hAnsi="宋体" w:eastAsia="宋体" w:cs="宋体"/>
          <w:color w:val="000000" w:themeColor="text1"/>
          <w:kern w:val="0"/>
          <w:szCs w:val="21"/>
          <w:highlight w:val="none"/>
          <w:lang w:val="en-US" w:eastAsia="zh-CN"/>
          <w14:textFill>
            <w14:solidFill>
              <w14:schemeClr w14:val="tx1"/>
            </w14:solidFill>
          </w14:textFill>
        </w:rPr>
        <w:fldChar w:fldCharType="begin"/>
      </w:r>
      <w:r>
        <w:rPr>
          <w:rFonts w:hint="eastAsia" w:ascii="宋体" w:hAnsi="宋体" w:eastAsia="宋体" w:cs="宋体"/>
          <w:color w:val="000000" w:themeColor="text1"/>
          <w:kern w:val="0"/>
          <w:szCs w:val="21"/>
          <w:highlight w:val="none"/>
          <w:lang w:val="en-US" w:eastAsia="zh-CN"/>
          <w14:textFill>
            <w14:solidFill>
              <w14:schemeClr w14:val="tx1"/>
            </w14:solidFill>
          </w14:textFill>
        </w:rPr>
        <w:instrText xml:space="preserve"> HYPERLINK "mailto:jjsjb@yilida.com" </w:instrText>
      </w:r>
      <w:r>
        <w:rPr>
          <w:rFonts w:hint="eastAsia" w:ascii="宋体" w:hAnsi="宋体" w:eastAsia="宋体" w:cs="宋体"/>
          <w:color w:val="000000" w:themeColor="text1"/>
          <w:kern w:val="0"/>
          <w:szCs w:val="21"/>
          <w:highlight w:val="none"/>
          <w:lang w:val="en-US" w:eastAsia="zh-CN"/>
          <w14:textFill>
            <w14:solidFill>
              <w14:schemeClr w14:val="tx1"/>
            </w14:solidFill>
          </w14:textFill>
        </w:rPr>
        <w:fldChar w:fldCharType="separate"/>
      </w:r>
      <w:r>
        <w:rPr>
          <w:rStyle w:val="52"/>
          <w:rFonts w:hint="eastAsia" w:ascii="宋体" w:hAnsi="宋体" w:eastAsia="宋体" w:cs="宋体"/>
          <w:color w:val="000000" w:themeColor="text1"/>
          <w:kern w:val="0"/>
          <w:szCs w:val="21"/>
          <w:highlight w:val="none"/>
          <w:lang w:val="en-US" w:eastAsia="zh-CN"/>
          <w14:textFill>
            <w14:solidFill>
              <w14:schemeClr w14:val="tx1"/>
            </w14:solidFill>
          </w14:textFill>
        </w:rPr>
        <w:t>jjsjb@yilida.com</w:t>
      </w:r>
      <w:r>
        <w:rPr>
          <w:rFonts w:hint="eastAsia" w:ascii="宋体" w:hAnsi="宋体" w:eastAsia="宋体" w:cs="宋体"/>
          <w:color w:val="000000" w:themeColor="text1"/>
          <w:kern w:val="0"/>
          <w:szCs w:val="21"/>
          <w:highlight w:val="none"/>
          <w:lang w:val="en-US" w:eastAsia="zh-CN"/>
          <w14:textFill>
            <w14:solidFill>
              <w14:schemeClr w14:val="tx1"/>
            </w14:solidFill>
          </w14:textFill>
        </w:rPr>
        <w:fldChar w:fldCharType="end"/>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特别说明：</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1</w:t>
      </w:r>
      <w:r>
        <w:rPr>
          <w:rFonts w:hint="eastAsia" w:ascii="宋体" w:hAnsi="宋体" w:eastAsia="宋体" w:cs="宋体"/>
          <w:b/>
          <w:color w:val="000000" w:themeColor="text1"/>
          <w:kern w:val="0"/>
          <w:szCs w:val="21"/>
          <w:lang w:eastAsia="zh-CN"/>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由于本项目为招投标项目，在招标报价时（确定中标候选人前），项目不进行二次报价。</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2</w:t>
      </w:r>
      <w:r>
        <w:rPr>
          <w:rFonts w:hint="eastAsia" w:ascii="宋体" w:hAnsi="宋体" w:eastAsia="宋体" w:cs="宋体"/>
          <w:b/>
          <w:color w:val="000000" w:themeColor="text1"/>
          <w:kern w:val="0"/>
          <w:szCs w:val="21"/>
          <w:lang w:eastAsia="zh-CN"/>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因此项目为企业经营性项目，</w:t>
      </w:r>
      <w:r>
        <w:rPr>
          <w:rFonts w:hint="eastAsia" w:ascii="宋体" w:hAnsi="宋体" w:eastAsia="宋体" w:cs="宋体"/>
          <w:b/>
          <w:color w:val="000000" w:themeColor="text1"/>
          <w:kern w:val="0"/>
          <w:szCs w:val="21"/>
          <w:lang w:val="en-US" w:eastAsia="zh-CN"/>
          <w14:textFill>
            <w14:solidFill>
              <w14:schemeClr w14:val="tx1"/>
            </w14:solidFill>
          </w14:textFill>
        </w:rPr>
        <w:t>招标设二轮议标程序，</w:t>
      </w:r>
      <w:r>
        <w:rPr>
          <w:rFonts w:hint="eastAsia" w:ascii="宋体" w:hAnsi="宋体" w:eastAsia="宋体" w:cs="宋体"/>
          <w:b/>
          <w:color w:val="000000" w:themeColor="text1"/>
          <w:kern w:val="0"/>
          <w:szCs w:val="21"/>
          <w14:textFill>
            <w14:solidFill>
              <w14:schemeClr w14:val="tx1"/>
            </w14:solidFill>
          </w14:textFill>
        </w:rPr>
        <w:t>在项目确定中标</w:t>
      </w:r>
      <w:r>
        <w:rPr>
          <w:rFonts w:hint="eastAsia" w:ascii="宋体" w:hAnsi="宋体" w:eastAsia="宋体" w:cs="宋体"/>
          <w:b/>
          <w:color w:val="000000" w:themeColor="text1"/>
          <w:kern w:val="0"/>
          <w:szCs w:val="21"/>
          <w:lang w:val="en-US" w:eastAsia="zh-CN"/>
          <w14:textFill>
            <w14:solidFill>
              <w14:schemeClr w14:val="tx1"/>
            </w14:solidFill>
          </w14:textFill>
        </w:rPr>
        <w:t>候选人</w:t>
      </w:r>
      <w:r>
        <w:rPr>
          <w:rFonts w:hint="eastAsia" w:ascii="宋体" w:hAnsi="宋体" w:eastAsia="宋体" w:cs="宋体"/>
          <w:b/>
          <w:color w:val="000000" w:themeColor="text1"/>
          <w:kern w:val="0"/>
          <w:szCs w:val="21"/>
          <w14:textFill>
            <w14:solidFill>
              <w14:schemeClr w14:val="tx1"/>
            </w14:solidFill>
          </w14:textFill>
        </w:rPr>
        <w:t>后，招标人将</w:t>
      </w:r>
      <w:r>
        <w:rPr>
          <w:rFonts w:hint="eastAsia" w:ascii="宋体" w:hAnsi="宋体" w:eastAsia="宋体" w:cs="宋体"/>
          <w:b/>
          <w:color w:val="000000" w:themeColor="text1"/>
          <w:kern w:val="0"/>
          <w:szCs w:val="21"/>
          <w:lang w:val="en-US" w:eastAsia="zh-CN"/>
          <w14:textFill>
            <w14:solidFill>
              <w14:schemeClr w14:val="tx1"/>
            </w14:solidFill>
          </w14:textFill>
        </w:rPr>
        <w:t>与</w:t>
      </w:r>
      <w:r>
        <w:rPr>
          <w:rFonts w:hint="eastAsia" w:ascii="宋体" w:hAnsi="宋体" w:eastAsia="宋体" w:cs="宋体"/>
          <w:b/>
          <w:color w:val="000000" w:themeColor="text1"/>
          <w:kern w:val="0"/>
          <w:szCs w:val="21"/>
          <w14:textFill>
            <w14:solidFill>
              <w14:schemeClr w14:val="tx1"/>
            </w14:solidFill>
          </w14:textFill>
        </w:rPr>
        <w:t>排名第一的中标候选人就投标价格、投标方案等实质性内容进行谈判。如谈判失败，则视同排名第一的中标候选人放弃中标资格，招标人将转而与排名第二的中标候选人进行谈判，以此类推。</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3</w:t>
      </w:r>
      <w:r>
        <w:rPr>
          <w:rFonts w:hint="eastAsia" w:ascii="宋体" w:hAnsi="宋体" w:eastAsia="宋体" w:cs="宋体"/>
          <w:b/>
          <w:color w:val="000000" w:themeColor="text1"/>
          <w:kern w:val="0"/>
          <w:szCs w:val="21"/>
          <w:lang w:eastAsia="zh-CN"/>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如有疑问请及时与招标人联系。</w:t>
      </w:r>
    </w:p>
    <w:p>
      <w:pPr>
        <w:pStyle w:val="31"/>
        <w:spacing w:line="360" w:lineRule="auto"/>
        <w:jc w:val="both"/>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2"/>
        <w:bidi w:val="0"/>
        <w:jc w:val="center"/>
        <w:rPr>
          <w:rFonts w:hint="eastAsia" w:ascii="黑体" w:hAnsi="黑体" w:cs="黑体"/>
        </w:rPr>
      </w:pPr>
      <w:bookmarkStart w:id="134" w:name="_Toc227057883"/>
      <w:bookmarkStart w:id="135" w:name="_Toc3119"/>
      <w:bookmarkStart w:id="136" w:name="_Toc19573"/>
      <w:bookmarkStart w:id="137" w:name="_Toc107822483"/>
      <w:bookmarkStart w:id="138" w:name="_Toc19096"/>
      <w:bookmarkStart w:id="139" w:name="_Toc6475"/>
      <w:bookmarkStart w:id="140" w:name="_Toc10028"/>
      <w:bookmarkStart w:id="141" w:name="_Toc5908"/>
      <w:bookmarkStart w:id="142" w:name="_Toc17815"/>
      <w:bookmarkStart w:id="143" w:name="_Toc226969276"/>
      <w:bookmarkStart w:id="144" w:name="_Toc21800"/>
      <w:r>
        <w:rPr>
          <w:rFonts w:hint="eastAsia" w:ascii="黑体" w:hAnsi="黑体" w:cs="黑体"/>
        </w:rPr>
        <w:t>第二章  投标人须知</w:t>
      </w:r>
      <w:bookmarkEnd w:id="134"/>
      <w:bookmarkEnd w:id="135"/>
      <w:bookmarkEnd w:id="136"/>
      <w:bookmarkEnd w:id="137"/>
      <w:bookmarkEnd w:id="138"/>
      <w:bookmarkEnd w:id="139"/>
      <w:bookmarkEnd w:id="140"/>
      <w:bookmarkEnd w:id="141"/>
      <w:bookmarkEnd w:id="142"/>
      <w:bookmarkEnd w:id="143"/>
      <w:bookmarkEnd w:id="144"/>
    </w:p>
    <w:p>
      <w:pPr>
        <w:pStyle w:val="3"/>
        <w:bidi w:val="0"/>
        <w:ind w:firstLine="643"/>
        <w:rPr>
          <w:rFonts w:hint="eastAsia" w:ascii="宋体" w:hAnsi="宋体" w:cs="宋体"/>
        </w:rPr>
      </w:pPr>
      <w:bookmarkStart w:id="145" w:name="_Toc5137"/>
      <w:bookmarkStart w:id="146" w:name="_Toc17322"/>
      <w:bookmarkStart w:id="147" w:name="_Toc12428"/>
      <w:bookmarkStart w:id="148" w:name="_Toc21886"/>
      <w:bookmarkStart w:id="149" w:name="_Toc12625"/>
      <w:bookmarkStart w:id="150" w:name="_Toc226969277"/>
      <w:bookmarkStart w:id="151" w:name="_Toc227057884"/>
      <w:bookmarkStart w:id="152" w:name="_Toc11694"/>
      <w:bookmarkStart w:id="153" w:name="_Toc1647"/>
      <w:bookmarkStart w:id="154" w:name="_Toc20469"/>
      <w:r>
        <w:rPr>
          <w:rFonts w:hint="eastAsia" w:ascii="宋体" w:hAnsi="宋体" w:cs="宋体"/>
        </w:rPr>
        <w:t>投标人须知前附表</w:t>
      </w:r>
      <w:bookmarkEnd w:id="145"/>
      <w:bookmarkEnd w:id="146"/>
      <w:bookmarkEnd w:id="147"/>
      <w:bookmarkEnd w:id="148"/>
      <w:bookmarkEnd w:id="149"/>
      <w:bookmarkEnd w:id="150"/>
      <w:bookmarkEnd w:id="151"/>
      <w:bookmarkEnd w:id="152"/>
      <w:bookmarkEnd w:id="153"/>
      <w:bookmarkEnd w:id="154"/>
    </w:p>
    <w:tbl>
      <w:tblPr>
        <w:tblStyle w:val="46"/>
        <w:tblW w:w="8831"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8"/>
        <w:gridCol w:w="1800"/>
        <w:gridCol w:w="638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31" w:hRule="atLeast"/>
          <w:tblHeader/>
          <w:jc w:val="center"/>
        </w:trPr>
        <w:tc>
          <w:tcPr>
            <w:tcW w:w="648" w:type="dxa"/>
            <w:vAlign w:val="center"/>
          </w:tcPr>
          <w:p>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1800" w:type="dxa"/>
            <w:vAlign w:val="center"/>
          </w:tcPr>
          <w:p>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项   目</w:t>
            </w:r>
          </w:p>
        </w:tc>
        <w:tc>
          <w:tcPr>
            <w:tcW w:w="6383" w:type="dxa"/>
            <w:vAlign w:val="center"/>
          </w:tcPr>
          <w:p>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项目名称</w:t>
            </w:r>
          </w:p>
        </w:tc>
        <w:tc>
          <w:tcPr>
            <w:tcW w:w="6383" w:type="dxa"/>
            <w:vAlign w:val="center"/>
          </w:tcPr>
          <w:p>
            <w:pPr>
              <w:adjustRightInd w:val="0"/>
              <w:snapToGrid w:val="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广东亿利达注塑设备采购项目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项目地点</w:t>
            </w:r>
          </w:p>
        </w:tc>
        <w:tc>
          <w:tcPr>
            <w:tcW w:w="6383" w:type="dxa"/>
            <w:vAlign w:val="center"/>
          </w:tcPr>
          <w:p>
            <w:pPr>
              <w:adjustRightInd w:val="0"/>
              <w:snapToGrid w:val="0"/>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广东亿利达风机有限公司</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项目编号</w:t>
            </w:r>
          </w:p>
        </w:tc>
        <w:tc>
          <w:tcPr>
            <w:tcW w:w="6383" w:type="dxa"/>
            <w:vAlign w:val="center"/>
          </w:tcPr>
          <w:p>
            <w:pPr>
              <w:adjustRightInd w:val="0"/>
              <w:snapToGrid w:val="0"/>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YLD-ZB-20240404</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招标方式</w:t>
            </w:r>
          </w:p>
        </w:tc>
        <w:tc>
          <w:tcPr>
            <w:tcW w:w="6383" w:type="dxa"/>
            <w:vAlign w:val="center"/>
          </w:tcPr>
          <w:p>
            <w:pPr>
              <w:adjustRightInd w:val="0"/>
              <w:snapToGrid w:val="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lang w:val="en-US" w:eastAsia="zh-CN"/>
                <w14:textFill>
                  <w14:solidFill>
                    <w14:schemeClr w14:val="tx1"/>
                  </w14:solidFill>
                </w14:textFill>
              </w:rPr>
              <w:t>公开</w:t>
            </w:r>
            <w:r>
              <w:rPr>
                <w:rFonts w:hint="eastAsia" w:ascii="宋体" w:hAnsi="宋体" w:eastAsia="宋体" w:cs="宋体"/>
                <w:bCs/>
                <w:color w:val="000000" w:themeColor="text1"/>
                <w:szCs w:val="21"/>
                <w14:textFill>
                  <w14:solidFill>
                    <w14:schemeClr w14:val="tx1"/>
                  </w14:solidFill>
                </w14:textFill>
              </w:rPr>
              <w:t>招标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招标内容</w:t>
            </w:r>
          </w:p>
        </w:tc>
        <w:tc>
          <w:tcPr>
            <w:tcW w:w="6383" w:type="dxa"/>
            <w:vAlign w:val="center"/>
          </w:tcPr>
          <w:p>
            <w:pPr>
              <w:adjustRightInd w:val="0"/>
              <w:snapToGrid w:val="0"/>
              <w:rPr>
                <w:rFonts w:hint="eastAsia" w:ascii="宋体" w:hAnsi="宋体" w:eastAsia="宋体" w:cs="宋体"/>
                <w:bCs/>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详见招标文件用户需求。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6</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实施周期</w:t>
            </w:r>
          </w:p>
        </w:tc>
        <w:tc>
          <w:tcPr>
            <w:tcW w:w="6383" w:type="dxa"/>
            <w:vAlign w:val="center"/>
          </w:tcPr>
          <w:p>
            <w:pPr>
              <w:adjustRightInd w:val="0"/>
              <w:snapToGrid w:val="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合同签订后90</w:t>
            </w:r>
            <w:r>
              <w:rPr>
                <w:rFonts w:hint="eastAsia" w:ascii="宋体" w:hAnsi="宋体" w:eastAsia="宋体" w:cs="宋体"/>
                <w:color w:val="000000" w:themeColor="text1"/>
                <w:kern w:val="0"/>
                <w:szCs w:val="21"/>
                <w:highlight w:val="none"/>
                <w:lang w:val="en-US" w:eastAsia="zh-CN"/>
                <w14:textFill>
                  <w14:solidFill>
                    <w14:schemeClr w14:val="tx1"/>
                  </w14:solidFill>
                </w14:textFill>
              </w:rPr>
              <w:t>个工作日内实施完毕</w:t>
            </w:r>
            <w:r>
              <w:rPr>
                <w:rFonts w:hint="eastAsia" w:ascii="宋体" w:hAnsi="宋体" w:eastAsia="宋体" w:cs="宋体"/>
                <w:color w:val="000000" w:themeColor="text1"/>
                <w:kern w:val="0"/>
                <w:szCs w:val="21"/>
                <w:lang w:val="en-US" w:eastAsia="zh-CN"/>
                <w14:textFill>
                  <w14:solidFill>
                    <w14:schemeClr w14:val="tx1"/>
                  </w14:solidFill>
                </w14:textFill>
              </w:rPr>
              <w:t>，具体详见“第四章 用户需求”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7</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资金来源</w:t>
            </w:r>
          </w:p>
        </w:tc>
        <w:tc>
          <w:tcPr>
            <w:tcW w:w="6383" w:type="dxa"/>
            <w:vAlign w:val="center"/>
          </w:tcPr>
          <w:p>
            <w:pPr>
              <w:adjustRightInd w:val="0"/>
              <w:snapToGrid w:val="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自有资金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8</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招标预算</w:t>
            </w:r>
          </w:p>
        </w:tc>
        <w:tc>
          <w:tcPr>
            <w:tcW w:w="6383" w:type="dxa"/>
            <w:vAlign w:val="center"/>
          </w:tcPr>
          <w:p>
            <w:pPr>
              <w:adjustRightInd w:val="0"/>
              <w:snapToGrid w:val="0"/>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最高限价： 65  万元，高于此报价的投标文件将被拒绝。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86"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9</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资格审查方式</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资格后审。</w:t>
            </w:r>
          </w:p>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资格后审是指在开标后由评标委员会根据招标文件的规定对投标人进行的资格审查，资格后审不合格的投标人，由评标委员会对其投标作无效标处理。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10</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投标保证金</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见</w:t>
            </w:r>
            <w:r>
              <w:rPr>
                <w:rFonts w:hint="eastAsia" w:ascii="宋体" w:hAnsi="宋体" w:eastAsia="宋体" w:cs="宋体"/>
                <w:color w:val="000000" w:themeColor="text1"/>
                <w:kern w:val="0"/>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11</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踏勘现场</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不集中组织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3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12</w:t>
            </w:r>
          </w:p>
        </w:tc>
        <w:tc>
          <w:tcPr>
            <w:tcW w:w="1800" w:type="dxa"/>
            <w:vAlign w:val="center"/>
          </w:tcPr>
          <w:p>
            <w:pPr>
              <w:adjustRightInd w:val="0"/>
              <w:snapToGrid w:val="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投标答疑</w:t>
            </w:r>
          </w:p>
        </w:tc>
        <w:tc>
          <w:tcPr>
            <w:tcW w:w="6383" w:type="dxa"/>
            <w:vAlign w:val="center"/>
          </w:tcPr>
          <w:p>
            <w:pPr>
              <w:adjustRightInd w:val="0"/>
              <w:snapToGrid w:val="0"/>
              <w:rPr>
                <w:rFonts w:hint="eastAsia" w:ascii="宋体" w:hAnsi="宋体" w:eastAsia="宋体" w:cs="宋体"/>
                <w:color w:val="000000" w:themeColor="text1"/>
                <w:szCs w:val="21"/>
                <w:lang w:val="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投标人如认为招标文件表述不清晰、存在歧视性或者倾向性或者其他违法内容的，必须</w:t>
            </w:r>
            <w:r>
              <w:rPr>
                <w:rFonts w:hint="eastAsia" w:ascii="宋体" w:hAnsi="宋体" w:eastAsia="宋体" w:cs="宋体"/>
                <w:color w:val="000000" w:themeColor="text1"/>
                <w:szCs w:val="21"/>
                <w:highlight w:val="none"/>
                <w14:textFill>
                  <w14:solidFill>
                    <w14:schemeClr w14:val="tx1"/>
                  </w14:solidFill>
                </w14:textFill>
              </w:rPr>
              <w:t>在</w:t>
            </w:r>
            <w:r>
              <w:rPr>
                <w:rFonts w:hint="eastAsia" w:ascii="宋体" w:hAnsi="宋体" w:eastAsia="宋体" w:cs="宋体"/>
                <w:color w:val="000000" w:themeColor="text1"/>
                <w:szCs w:val="21"/>
                <w:highlight w:val="none"/>
                <w:u w:val="single"/>
                <w14:textFill>
                  <w14:solidFill>
                    <w14:schemeClr w14:val="tx1"/>
                  </w14:solidFill>
                </w14:textFill>
              </w:rPr>
              <w:t>20</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24  </w:t>
            </w:r>
            <w:r>
              <w:rPr>
                <w:rFonts w:hint="eastAsia" w:ascii="宋体" w:hAnsi="宋体" w:eastAsia="宋体" w:cs="宋体"/>
                <w:color w:val="000000" w:themeColor="text1"/>
                <w:szCs w:val="21"/>
                <w:highlight w:val="none"/>
                <w:u w:val="single"/>
                <w14:textFill>
                  <w14:solidFill>
                    <w14:schemeClr w14:val="tx1"/>
                  </w14:solidFill>
                </w14:textFill>
              </w:rPr>
              <w:t>年</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 5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17 </w:t>
            </w:r>
            <w:r>
              <w:rPr>
                <w:rFonts w:hint="eastAsia" w:ascii="宋体" w:hAnsi="宋体" w:eastAsia="宋体" w:cs="宋体"/>
                <w:color w:val="000000" w:themeColor="text1"/>
                <w:szCs w:val="21"/>
                <w:highlight w:val="none"/>
                <w14:textFill>
                  <w14:solidFill>
                    <w14:schemeClr w14:val="tx1"/>
                  </w14:solidFill>
                </w14:textFill>
              </w:rPr>
              <w:t>日</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 xml:space="preserve"> 17 </w:t>
            </w:r>
            <w:r>
              <w:rPr>
                <w:rFonts w:hint="eastAsia" w:ascii="宋体" w:hAnsi="宋体" w:eastAsia="宋体" w:cs="宋体"/>
                <w:snapToGrid w:val="0"/>
                <w:color w:val="000000" w:themeColor="text1"/>
                <w:kern w:val="0"/>
                <w:szCs w:val="21"/>
                <w:highlight w:val="none"/>
                <w14:textFill>
                  <w14:solidFill>
                    <w14:schemeClr w14:val="tx1"/>
                  </w14:solidFill>
                </w14:textFill>
              </w:rPr>
              <w:t>时之前、将要求答疑的问题</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反馈</w:t>
            </w:r>
            <w:r>
              <w:rPr>
                <w:rFonts w:hint="eastAsia" w:ascii="宋体" w:hAnsi="宋体" w:eastAsia="宋体" w:cs="宋体"/>
                <w:snapToGrid w:val="0"/>
                <w:color w:val="000000" w:themeColor="text1"/>
                <w:kern w:val="0"/>
                <w:szCs w:val="21"/>
                <w:highlight w:val="none"/>
                <w14:textFill>
                  <w14:solidFill>
                    <w14:schemeClr w14:val="tx1"/>
                  </w14:solidFill>
                </w14:textFill>
              </w:rPr>
              <w:t>至</w:t>
            </w:r>
            <w:r>
              <w:rPr>
                <w:rFonts w:hint="eastAsia" w:ascii="宋体" w:hAnsi="宋体" w:eastAsia="宋体" w:cs="宋体"/>
                <w:bCs/>
                <w:snapToGrid w:val="0"/>
                <w:color w:val="000000" w:themeColor="text1"/>
                <w:kern w:val="0"/>
                <w:szCs w:val="21"/>
                <w:highlight w:val="none"/>
                <w:lang w:val="en-US" w:eastAsia="zh-CN"/>
                <w14:textFill>
                  <w14:solidFill>
                    <w14:schemeClr w14:val="tx1"/>
                  </w14:solidFill>
                </w14:textFill>
              </w:rPr>
              <w:t>招标联系人</w:t>
            </w:r>
            <w:r>
              <w:rPr>
                <w:rFonts w:hint="eastAsia" w:ascii="宋体" w:hAnsi="宋体" w:eastAsia="宋体" w:cs="宋体"/>
                <w:color w:val="000000" w:themeColor="text1"/>
                <w:szCs w:val="21"/>
                <w:highlight w:val="none"/>
                <w:lang w:val="zh-CN"/>
                <w14:textFill>
                  <w14:solidFill>
                    <w14:schemeClr w14:val="tx1"/>
                  </w14:solidFill>
                </w14:textFill>
              </w:rPr>
              <w:t>。截止期后的或逾期获取招标文件的疑问将不予受理、也不答复。招标人将在</w:t>
            </w:r>
            <w:r>
              <w:rPr>
                <w:rFonts w:hint="eastAsia" w:ascii="宋体" w:hAnsi="宋体" w:eastAsia="宋体" w:cs="宋体"/>
                <w:color w:val="000000" w:themeColor="text1"/>
                <w:szCs w:val="21"/>
                <w:highlight w:val="none"/>
                <w:u w:val="single"/>
                <w14:textFill>
                  <w14:solidFill>
                    <w14:schemeClr w14:val="tx1"/>
                  </w14:solidFill>
                </w14:textFill>
              </w:rPr>
              <w:t>20</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24  </w:t>
            </w:r>
            <w:r>
              <w:rPr>
                <w:rFonts w:hint="eastAsia" w:ascii="宋体" w:hAnsi="宋体" w:eastAsia="宋体" w:cs="宋体"/>
                <w:color w:val="000000" w:themeColor="text1"/>
                <w:szCs w:val="21"/>
                <w:highlight w:val="none"/>
                <w:u w:val="single"/>
                <w14:textFill>
                  <w14:solidFill>
                    <w14:schemeClr w14:val="tx1"/>
                  </w14:solidFill>
                </w14:textFill>
              </w:rPr>
              <w:t>年</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 5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20 </w:t>
            </w:r>
            <w:r>
              <w:rPr>
                <w:rFonts w:hint="eastAsia" w:ascii="宋体" w:hAnsi="宋体" w:eastAsia="宋体" w:cs="宋体"/>
                <w:color w:val="000000" w:themeColor="text1"/>
                <w:szCs w:val="21"/>
                <w:highlight w:val="none"/>
                <w14:textFill>
                  <w14:solidFill>
                    <w14:schemeClr w14:val="tx1"/>
                  </w14:solidFill>
                </w14:textFill>
              </w:rPr>
              <w:t>日</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 xml:space="preserve"> 17 </w:t>
            </w:r>
            <w:r>
              <w:rPr>
                <w:rFonts w:hint="eastAsia" w:ascii="宋体" w:hAnsi="宋体" w:eastAsia="宋体" w:cs="宋体"/>
                <w:snapToGrid w:val="0"/>
                <w:color w:val="000000" w:themeColor="text1"/>
                <w:kern w:val="0"/>
                <w:szCs w:val="21"/>
                <w:highlight w:val="none"/>
                <w14:textFill>
                  <w14:solidFill>
                    <w14:schemeClr w14:val="tx1"/>
                  </w14:solidFill>
                </w14:textFill>
              </w:rPr>
              <w:t>时</w:t>
            </w:r>
            <w:r>
              <w:rPr>
                <w:rFonts w:hint="eastAsia" w:ascii="宋体" w:hAnsi="宋体" w:eastAsia="宋体" w:cs="宋体"/>
                <w:snapToGrid w:val="0"/>
                <w:color w:val="000000" w:themeColor="text1"/>
                <w:kern w:val="0"/>
                <w:szCs w:val="21"/>
                <w14:textFill>
                  <w14:solidFill>
                    <w14:schemeClr w14:val="tx1"/>
                  </w14:solidFill>
                </w14:textFill>
              </w:rPr>
              <w:t>之前以书面形式回复所有已</w:t>
            </w:r>
            <w:r>
              <w:rPr>
                <w:rFonts w:hint="eastAsia" w:ascii="宋体" w:hAnsi="宋体" w:eastAsia="宋体" w:cs="宋体"/>
                <w:snapToGrid w:val="0"/>
                <w:color w:val="000000" w:themeColor="text1"/>
                <w:kern w:val="0"/>
                <w:szCs w:val="21"/>
                <w:lang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文件的投标人，</w:t>
            </w:r>
            <w:r>
              <w:rPr>
                <w:rFonts w:hint="eastAsia" w:ascii="宋体" w:hAnsi="宋体" w:eastAsia="宋体" w:cs="宋体"/>
                <w:color w:val="000000" w:themeColor="text1"/>
                <w:szCs w:val="21"/>
                <w14:textFill>
                  <w14:solidFill>
                    <w14:schemeClr w14:val="tx1"/>
                  </w14:solidFill>
                </w14:textFill>
              </w:rPr>
              <w:t>答疑回复内容是招标文件的组成部份，并将以书面形式送达所有已</w:t>
            </w:r>
            <w:r>
              <w:rPr>
                <w:rFonts w:hint="eastAsia" w:ascii="宋体" w:hAnsi="宋体" w:eastAsia="宋体" w:cs="宋体"/>
                <w:color w:val="000000" w:themeColor="text1"/>
                <w:szCs w:val="21"/>
                <w:lang w:eastAsia="zh-CN"/>
                <w14:textFill>
                  <w14:solidFill>
                    <w14:schemeClr w14:val="tx1"/>
                  </w14:solidFill>
                </w14:textFill>
              </w:rPr>
              <w:t>获取</w:t>
            </w:r>
            <w:r>
              <w:rPr>
                <w:rFonts w:hint="eastAsia" w:ascii="宋体" w:hAnsi="宋体" w:eastAsia="宋体" w:cs="宋体"/>
                <w:color w:val="000000" w:themeColor="text1"/>
                <w:szCs w:val="21"/>
                <w14:textFill>
                  <w14:solidFill>
                    <w14:schemeClr w14:val="tx1"/>
                  </w14:solidFill>
                </w14:textFill>
              </w:rPr>
              <w:t>招标文件的投标人。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4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13</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招标文件的澄清与修改</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在投标截止时间3天前，招标人有权澄清和修改招标文件，并以书面形式通知所有已</w:t>
            </w:r>
            <w:r>
              <w:rPr>
                <w:rFonts w:hint="eastAsia" w:ascii="宋体" w:hAnsi="宋体" w:eastAsia="宋体" w:cs="宋体"/>
                <w:color w:val="000000" w:themeColor="text1"/>
                <w:szCs w:val="21"/>
                <w:lang w:eastAsia="zh-CN"/>
                <w14:textFill>
                  <w14:solidFill>
                    <w14:schemeClr w14:val="tx1"/>
                  </w14:solidFill>
                </w14:textFill>
              </w:rPr>
              <w:t>获取</w:t>
            </w:r>
            <w:r>
              <w:rPr>
                <w:rFonts w:hint="eastAsia" w:ascii="宋体" w:hAnsi="宋体" w:eastAsia="宋体" w:cs="宋体"/>
                <w:color w:val="000000" w:themeColor="text1"/>
                <w:szCs w:val="21"/>
                <w14:textFill>
                  <w14:solidFill>
                    <w14:schemeClr w14:val="tx1"/>
                  </w14:solidFill>
                </w14:textFill>
              </w:rPr>
              <w:t>招标文件的投标人。修改和澄清（答疑）答复的文件作为招标招标文件的补充和组成部分，对所有投标人均有约束力。澄清和修改内容对投标人编制投标文件有重大影响的，招标人应当考虑延长投标截止时间。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1"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14</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投标文件份数</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纸质文件包括正本一份、副本二份，电子文档一份（注明投标项目及单位名称，密封在正本内）。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15</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评标办法</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12"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16</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投标文件递交地址及截止时间</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w:t>
            </w:r>
            <w:r>
              <w:rPr>
                <w:rFonts w:hint="eastAsia" w:ascii="宋体" w:hAnsi="宋体" w:eastAsia="宋体" w:cs="宋体"/>
                <w:color w:val="000000" w:themeColor="text1"/>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2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17</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开标时间及地点</w:t>
            </w:r>
          </w:p>
        </w:tc>
        <w:tc>
          <w:tcPr>
            <w:tcW w:w="6383" w:type="dxa"/>
            <w:vAlign w:val="center"/>
          </w:tcPr>
          <w:p>
            <w:pPr>
              <w:adjustRightInd w:val="0"/>
              <w:snapToGrid w:val="0"/>
              <w:spacing w:line="400" w:lineRule="exact"/>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w:t>
            </w:r>
            <w:r>
              <w:rPr>
                <w:rFonts w:hint="eastAsia" w:ascii="宋体" w:hAnsi="宋体" w:eastAsia="宋体" w:cs="宋体"/>
                <w:color w:val="000000" w:themeColor="text1"/>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18</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投标有效期</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投标截止日后</w:t>
            </w:r>
            <w:r>
              <w:rPr>
                <w:rFonts w:hint="eastAsia" w:ascii="宋体" w:hAnsi="宋体" w:eastAsia="宋体" w:cs="宋体"/>
                <w:bCs/>
                <w:color w:val="000000" w:themeColor="text1"/>
                <w:szCs w:val="21"/>
                <w14:textFill>
                  <w14:solidFill>
                    <w14:schemeClr w14:val="tx1"/>
                  </w14:solidFill>
                </w14:textFill>
              </w:rPr>
              <w:t>90天</w:t>
            </w:r>
            <w:r>
              <w:rPr>
                <w:rFonts w:hint="eastAsia" w:ascii="宋体" w:hAnsi="宋体" w:eastAsia="宋体" w:cs="宋体"/>
                <w:color w:val="000000" w:themeColor="text1"/>
                <w:szCs w:val="21"/>
                <w14:textFill>
                  <w14:solidFill>
                    <w14:schemeClr w14:val="tx1"/>
                  </w14:solidFill>
                </w14:textFill>
              </w:rPr>
              <w:t>内有效，不足该有效期的，其投标视为无效标。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39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19</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履约保证金</w:t>
            </w:r>
          </w:p>
        </w:tc>
        <w:tc>
          <w:tcPr>
            <w:tcW w:w="6383" w:type="dxa"/>
            <w:vAlign w:val="center"/>
          </w:tcPr>
          <w:p>
            <w:pPr>
              <w:pStyle w:val="24"/>
              <w:adjustRightInd w:val="0"/>
              <w:snapToGrid w:val="0"/>
              <w:rPr>
                <w:rFonts w:hint="eastAsia" w:ascii="宋体" w:hAnsi="宋体" w:eastAsia="宋体" w:cs="宋体"/>
                <w:color w:val="000000" w:themeColor="text1"/>
                <w:szCs w:val="21"/>
                <w:lang w:val="en-US"/>
                <w14:textFill>
                  <w14:solidFill>
                    <w14:schemeClr w14:val="tx1"/>
                  </w14:solidFill>
                </w14:textFill>
              </w:rPr>
            </w:pPr>
            <w:r>
              <w:rPr>
                <w:rFonts w:hint="eastAsia" w:ascii="宋体" w:hAnsi="宋体" w:eastAsia="宋体" w:cs="宋体"/>
                <w:color w:val="000000" w:themeColor="text1"/>
                <w:szCs w:val="21"/>
                <w:lang w:val="en-US"/>
                <w14:textFill>
                  <w14:solidFill>
                    <w14:schemeClr w14:val="tx1"/>
                  </w14:solidFill>
                </w14:textFill>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3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20</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异议</w:t>
            </w:r>
          </w:p>
        </w:tc>
        <w:tc>
          <w:tcPr>
            <w:tcW w:w="6383" w:type="dxa"/>
            <w:vAlign w:val="center"/>
          </w:tcPr>
          <w:p>
            <w:pPr>
              <w:pStyle w:val="24"/>
              <w:adjustRightInd w:val="0"/>
              <w:snapToGrid w:val="0"/>
              <w:jc w:val="left"/>
              <w:rPr>
                <w:rFonts w:hint="eastAsia" w:ascii="宋体" w:hAnsi="宋体" w:eastAsia="宋体" w:cs="宋体"/>
                <w:snapToGrid w:val="0"/>
                <w:color w:val="000000" w:themeColor="text1"/>
                <w:kern w:val="0"/>
                <w:szCs w:val="21"/>
                <w:lang w:val="en-US"/>
                <w14:textFill>
                  <w14:solidFill>
                    <w14:schemeClr w14:val="tx1"/>
                  </w14:solidFill>
                </w14:textFill>
              </w:rPr>
            </w:pPr>
            <w:r>
              <w:rPr>
                <w:rFonts w:hint="eastAsia" w:ascii="宋体" w:hAnsi="宋体" w:eastAsia="宋体" w:cs="宋体"/>
                <w:snapToGrid w:val="0"/>
                <w:color w:val="000000" w:themeColor="text1"/>
                <w:kern w:val="0"/>
                <w:szCs w:val="21"/>
                <w:lang w:val="en-US"/>
                <w14:textFill>
                  <w14:solidFill>
                    <w14:schemeClr w14:val="tx1"/>
                  </w14:solidFill>
                </w14:textFill>
              </w:rPr>
              <w:t>见</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3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21</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投诉</w:t>
            </w:r>
          </w:p>
        </w:tc>
        <w:tc>
          <w:tcPr>
            <w:tcW w:w="6383" w:type="dxa"/>
            <w:vAlign w:val="center"/>
          </w:tcPr>
          <w:p>
            <w:pPr>
              <w:adjustRightInd w:val="0"/>
              <w:snapToGrid w:val="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14:textFill>
                  <w14:solidFill>
                    <w14:schemeClr w14:val="tx1"/>
                  </w14:solidFill>
                </w14:textFill>
              </w:rPr>
              <w:t>见</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987"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22</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特别说明</w:t>
            </w:r>
          </w:p>
        </w:tc>
        <w:tc>
          <w:tcPr>
            <w:tcW w:w="6383" w:type="dxa"/>
            <w:vAlign w:val="center"/>
          </w:tcPr>
          <w:p>
            <w:pPr>
              <w:pStyle w:val="24"/>
              <w:adjustRightInd w:val="0"/>
              <w:snapToGrid w:val="0"/>
              <w:rPr>
                <w:rFonts w:hint="eastAsia" w:ascii="宋体" w:hAnsi="宋体" w:eastAsia="宋体" w:cs="宋体"/>
                <w:color w:val="000000" w:themeColor="text1"/>
                <w:szCs w:val="21"/>
                <w:lang w:val="en-US"/>
                <w14:textFill>
                  <w14:solidFill>
                    <w14:schemeClr w14:val="tx1"/>
                  </w14:solidFill>
                </w14:textFill>
              </w:rPr>
            </w:pPr>
            <w:r>
              <w:rPr>
                <w:rFonts w:hint="eastAsia" w:ascii="宋体" w:hAnsi="宋体" w:eastAsia="宋体" w:cs="宋体"/>
                <w:color w:val="000000" w:themeColor="text1"/>
                <w:szCs w:val="21"/>
                <w:lang w:val="en-US"/>
                <w14:textFill>
                  <w14:solidFill>
                    <w14:schemeClr w14:val="tx1"/>
                  </w14:solidFill>
                </w14:textFill>
              </w:rPr>
              <w:t>（1）</w:t>
            </w:r>
            <w:r>
              <w:rPr>
                <w:rFonts w:hint="eastAsia" w:ascii="宋体" w:hAnsi="宋体" w:eastAsia="宋体" w:cs="宋体"/>
                <w:b/>
                <w:color w:val="000000" w:themeColor="text1"/>
                <w:szCs w:val="21"/>
                <w:lang w:val="en-US"/>
                <w14:textFill>
                  <w14:solidFill>
                    <w14:schemeClr w14:val="tx1"/>
                  </w14:solidFill>
                </w14:textFill>
              </w:rPr>
              <w:t>投标人应无条件的、认真仔细的、不厌其烦的阅读本招标文件及其澄清答疑、修改答复的补充文件，严格按照招标文件及补充文件的规定和要求编制投标文件。</w:t>
            </w:r>
            <w:r>
              <w:rPr>
                <w:rFonts w:hint="eastAsia" w:ascii="宋体" w:hAnsi="宋体" w:eastAsia="宋体" w:cs="宋体"/>
                <w:color w:val="000000" w:themeColor="text1"/>
                <w:szCs w:val="21"/>
                <w:lang w:val="en-US"/>
                <w14:textFill>
                  <w14:solidFill>
                    <w14:schemeClr w14:val="tx1"/>
                  </w14:solidFill>
                </w14:textFill>
              </w:rPr>
              <w:t>在编制投标文件过程中，应严格遵循实事求是、诚信投标的原则，</w:t>
            </w:r>
            <w:r>
              <w:rPr>
                <w:rFonts w:hint="eastAsia" w:ascii="宋体" w:hAnsi="宋体" w:eastAsia="宋体" w:cs="宋体"/>
                <w:snapToGrid w:val="0"/>
                <w:color w:val="000000" w:themeColor="text1"/>
                <w:kern w:val="0"/>
                <w:szCs w:val="21"/>
                <w:lang w:val="en-US"/>
                <w14:textFill>
                  <w14:solidFill>
                    <w14:schemeClr w14:val="tx1"/>
                  </w14:solidFill>
                </w14:textFill>
              </w:rPr>
              <w:t>针对招标文件中第三章合同条款等各项内容、第四章用户需求</w:t>
            </w:r>
            <w:r>
              <w:rPr>
                <w:rFonts w:hint="eastAsia" w:ascii="宋体" w:hAnsi="宋体" w:eastAsia="宋体" w:cs="宋体"/>
                <w:color w:val="000000" w:themeColor="text1"/>
                <w:szCs w:val="21"/>
                <w:lang w:val="en-US"/>
                <w14:textFill>
                  <w14:solidFill>
                    <w14:schemeClr w14:val="tx1"/>
                  </w14:solidFill>
                </w14:textFill>
              </w:rPr>
              <w:t>等各项内容进行确认，如有偏离，应如实填写响应偏离表。</w:t>
            </w:r>
            <w:r>
              <w:rPr>
                <w:rFonts w:hint="eastAsia" w:ascii="宋体" w:hAnsi="宋体" w:eastAsia="宋体" w:cs="宋体"/>
                <w:b/>
                <w:color w:val="000000" w:themeColor="text1"/>
                <w:szCs w:val="21"/>
                <w:lang w:val="en-US"/>
                <w14:textFill>
                  <w14:solidFill>
                    <w14:schemeClr w14:val="tx1"/>
                  </w14:solidFill>
                </w14:textFill>
              </w:rPr>
              <w:t>若投标人不提供偏离表或偏离表为空白则视为投标人完全响应招标文件的要求。</w:t>
            </w:r>
          </w:p>
          <w:p>
            <w:pPr>
              <w:pStyle w:val="24"/>
              <w:adjustRightInd w:val="0"/>
              <w:snapToGrid w:val="0"/>
              <w:rPr>
                <w:rFonts w:hint="eastAsia" w:ascii="宋体" w:hAnsi="宋体" w:eastAsia="宋体" w:cs="宋体"/>
                <w:snapToGrid w:val="0"/>
                <w:color w:val="000000" w:themeColor="text1"/>
                <w:kern w:val="0"/>
                <w:szCs w:val="21"/>
                <w:lang w:val="en-US"/>
                <w14:textFill>
                  <w14:solidFill>
                    <w14:schemeClr w14:val="tx1"/>
                  </w14:solidFill>
                </w14:textFill>
              </w:rPr>
            </w:pPr>
            <w:r>
              <w:rPr>
                <w:rFonts w:hint="eastAsia" w:ascii="宋体" w:hAnsi="宋体" w:eastAsia="宋体" w:cs="宋体"/>
                <w:color w:val="000000" w:themeColor="text1"/>
                <w:szCs w:val="21"/>
                <w:lang w:val="en-US"/>
                <w14:textFill>
                  <w14:solidFill>
                    <w14:schemeClr w14:val="tx1"/>
                  </w14:solidFill>
                </w14:textFill>
              </w:rPr>
              <w:t>（2）</w:t>
            </w:r>
            <w:r>
              <w:rPr>
                <w:rFonts w:hint="eastAsia" w:ascii="宋体" w:hAnsi="宋体" w:eastAsia="宋体" w:cs="宋体"/>
                <w:snapToGrid w:val="0"/>
                <w:color w:val="000000" w:themeColor="text1"/>
                <w:kern w:val="0"/>
                <w:szCs w:val="21"/>
                <w:lang w:val="en-US"/>
                <w14:textFill>
                  <w14:solidFill>
                    <w14:schemeClr w14:val="tx1"/>
                  </w14:solidFill>
                </w14:textFill>
              </w:rPr>
              <w:t>该项目中标公示期间，投标人不得通过非正当途径、更不得通过非正当手段获取法律法规规定评标委员会（包括其他相关人员）应当保密的相关内容。即便由此获得资料并作为向招标人或</w:t>
            </w:r>
            <w:r>
              <w:rPr>
                <w:rFonts w:hint="eastAsia" w:ascii="宋体" w:hAnsi="宋体" w:eastAsia="宋体" w:cs="宋体"/>
                <w:snapToGrid w:val="0"/>
                <w:color w:val="000000" w:themeColor="text1"/>
                <w:kern w:val="0"/>
                <w:szCs w:val="21"/>
                <w:lang w:val="en-US" w:eastAsia="zh-CN"/>
                <w14:textFill>
                  <w14:solidFill>
                    <w14:schemeClr w14:val="tx1"/>
                  </w14:solidFill>
                </w14:textFill>
              </w:rPr>
              <w:t>纪律检查室</w:t>
            </w:r>
            <w:r>
              <w:rPr>
                <w:rFonts w:hint="eastAsia" w:ascii="宋体" w:hAnsi="宋体" w:eastAsia="宋体" w:cs="宋体"/>
                <w:snapToGrid w:val="0"/>
                <w:color w:val="000000" w:themeColor="text1"/>
                <w:kern w:val="0"/>
                <w:szCs w:val="21"/>
                <w:lang w:val="en-US"/>
                <w14:textFill>
                  <w14:solidFill>
                    <w14:schemeClr w14:val="tx1"/>
                  </w14:solidFill>
                </w14:textFill>
              </w:rPr>
              <w:t>提出异（质）疑或投诉或法院起诉的理由，均属于非法索取的依据。</w:t>
            </w:r>
          </w:p>
        </w:tc>
      </w:tr>
    </w:tbl>
    <w:p>
      <w:pPr>
        <w:pageBreakBefore w:val="0"/>
        <w:widowControl w:val="0"/>
        <w:kinsoku/>
        <w:wordWrap/>
        <w:overflowPunct/>
        <w:topLinePunct w:val="0"/>
        <w:autoSpaceDE/>
        <w:autoSpaceDN/>
        <w:bidi w:val="0"/>
        <w:adjustRightInd w:val="0"/>
        <w:snapToGrid w:val="0"/>
        <w:spacing w:line="360" w:lineRule="auto"/>
        <w:textAlignment w:val="auto"/>
        <w:rPr>
          <w:rFonts w:ascii="EYInterstate Light" w:hAnsi="EYInterstate Light"/>
          <w:b/>
          <w:color w:val="000000" w:themeColor="text1"/>
          <w:sz w:val="24"/>
          <w14:textFill>
            <w14:solidFill>
              <w14:schemeClr w14:val="tx1"/>
            </w14:solidFill>
          </w14:textFill>
        </w:rPr>
      </w:pPr>
      <w:bookmarkStart w:id="155" w:name="_Toc107822484"/>
      <w:bookmarkStart w:id="156" w:name="_Toc227057885"/>
      <w:bookmarkStart w:id="157" w:name="_Toc226969278"/>
      <w:bookmarkStart w:id="158" w:name="_Toc488655831"/>
      <w:r>
        <w:rPr>
          <w:rFonts w:hint="eastAsia" w:ascii="宋体" w:hAnsi="宋体" w:eastAsia="宋体" w:cs="宋体"/>
          <w:snapToGrid w:val="0"/>
          <w:color w:val="000000" w:themeColor="text1"/>
          <w:kern w:val="0"/>
          <w:szCs w:val="21"/>
          <w14:textFill>
            <w14:solidFill>
              <w14:schemeClr w14:val="tx1"/>
            </w14:solidFill>
          </w14:textFill>
        </w:rPr>
        <w:t>注：以上内容如有变化将另行书面通知。如通知其中某一内容发生变化，其余未提及的将不作变动。</w:t>
      </w:r>
      <w:r>
        <w:rPr>
          <w:rFonts w:ascii="EYInterstate Light" w:hAnsi="EYInterstate Light"/>
          <w:b/>
          <w:color w:val="000000" w:themeColor="text1"/>
          <w:sz w:val="24"/>
          <w14:textFill>
            <w14:solidFill>
              <w14:schemeClr w14:val="tx1"/>
            </w14:solidFill>
          </w14:textFill>
        </w:rPr>
        <w:br w:type="page"/>
      </w:r>
      <w:bookmarkStart w:id="159" w:name="_Toc367274977"/>
      <w:bookmarkStart w:id="160" w:name="_Toc251566650"/>
      <w:bookmarkStart w:id="161" w:name="_Toc240450077"/>
    </w:p>
    <w:p>
      <w:pPr>
        <w:pStyle w:val="3"/>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rPr>
      </w:pPr>
      <w:bookmarkStart w:id="162" w:name="_Toc15267"/>
      <w:bookmarkStart w:id="163" w:name="_Toc24875"/>
      <w:bookmarkStart w:id="164" w:name="_Toc18089"/>
      <w:bookmarkStart w:id="165" w:name="_Toc11654"/>
      <w:bookmarkStart w:id="166" w:name="_Toc7406"/>
      <w:bookmarkStart w:id="167" w:name="_Toc13001"/>
      <w:bookmarkStart w:id="168" w:name="_Toc25115"/>
      <w:bookmarkStart w:id="169" w:name="_Toc9425"/>
      <w:r>
        <w:rPr>
          <w:rFonts w:hint="eastAsia" w:ascii="宋体" w:hAnsi="宋体" w:cs="宋体"/>
        </w:rPr>
        <w:t>一、总则</w:t>
      </w:r>
      <w:bookmarkEnd w:id="159"/>
      <w:bookmarkEnd w:id="160"/>
      <w:bookmarkEnd w:id="161"/>
      <w:bookmarkEnd w:id="162"/>
      <w:bookmarkEnd w:id="163"/>
      <w:bookmarkEnd w:id="164"/>
      <w:bookmarkEnd w:id="165"/>
      <w:bookmarkEnd w:id="166"/>
      <w:bookmarkEnd w:id="167"/>
      <w:bookmarkEnd w:id="168"/>
      <w:bookmarkEnd w:id="169"/>
    </w:p>
    <w:p>
      <w:pPr>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本次招标工作是按照《中华人民共和国招标投标法》等相关法律法规组织和实施，并由招标人纪律检查室指导和监督。</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bookmarkStart w:id="170" w:name="_Toc251566652"/>
      <w:bookmarkStart w:id="171" w:name="_Toc240450079"/>
      <w:r>
        <w:rPr>
          <w:rFonts w:hint="eastAsia" w:ascii="宋体" w:hAnsi="宋体" w:eastAsia="宋体" w:cs="宋体"/>
          <w:b/>
          <w:snapToGrid w:val="0"/>
          <w:color w:val="000000" w:themeColor="text1"/>
          <w:kern w:val="0"/>
          <w:sz w:val="21"/>
          <w:szCs w:val="21"/>
          <w14:textFill>
            <w14:solidFill>
              <w14:schemeClr w14:val="tx1"/>
            </w14:solidFill>
          </w14:textFill>
        </w:rPr>
        <w:t>适用范围</w:t>
      </w:r>
    </w:p>
    <w:p>
      <w:pPr>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本招标文件仅适用于本次招标项目。</w:t>
      </w:r>
    </w:p>
    <w:p>
      <w:pPr>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本项目招标方式为</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公开</w:t>
      </w:r>
      <w:r>
        <w:rPr>
          <w:rFonts w:hint="eastAsia" w:ascii="宋体" w:hAnsi="宋体" w:eastAsia="宋体" w:cs="宋体"/>
          <w:snapToGrid w:val="0"/>
          <w:color w:val="000000" w:themeColor="text1"/>
          <w:kern w:val="0"/>
          <w:sz w:val="21"/>
          <w:szCs w:val="21"/>
          <w14:textFill>
            <w14:solidFill>
              <w14:schemeClr w14:val="tx1"/>
            </w14:solidFill>
          </w14:textFill>
        </w:rPr>
        <w:t>招标。</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定义</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“招标人”系指</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广东亿利达风机有限公司</w:t>
      </w:r>
      <w:r>
        <w:rPr>
          <w:rFonts w:hint="eastAsia" w:ascii="宋体" w:hAnsi="宋体" w:eastAsia="宋体" w:cs="宋体"/>
          <w:snapToGrid w:val="0"/>
          <w:color w:val="000000" w:themeColor="text1"/>
          <w:kern w:val="0"/>
          <w:sz w:val="21"/>
          <w:szCs w:val="21"/>
          <w14:textFill>
            <w14:solidFill>
              <w14:schemeClr w14:val="tx1"/>
            </w14:solidFill>
          </w14:textFill>
        </w:rPr>
        <w:t>。</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“投标人”系指响应本次招标，参加本次投标的非联合体投标人。</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“货物”系指投标人按招标文件或合同要求，须向招标人提供的一切材料、设备、机械、仪器、备件、配件、工具、手册及其他技术资料和文字材料。</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“服务”系指招标文件或合同规定投标人须承担的相关工作等以及其他类似的义务。</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合格的投标人及合格的投标服务</w:t>
      </w:r>
    </w:p>
    <w:p>
      <w:pPr>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合格的投标人(不接受联合体)，详</w:t>
      </w:r>
      <w:r>
        <w:rPr>
          <w:rFonts w:hint="eastAsia" w:ascii="宋体" w:hAnsi="宋体" w:eastAsia="宋体" w:cs="宋体"/>
          <w:snapToGrid w:val="0"/>
          <w:color w:val="000000" w:themeColor="text1"/>
          <w:kern w:val="0"/>
          <w:szCs w:val="21"/>
          <w:lang w:val="en-US"/>
          <w14:textFill>
            <w14:solidFill>
              <w14:schemeClr w14:val="tx1"/>
            </w14:solidFill>
          </w14:textFill>
        </w:rPr>
        <w:t>见</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snapToGrid w:val="0"/>
          <w:color w:val="000000" w:themeColor="text1"/>
          <w:kern w:val="0"/>
          <w:sz w:val="21"/>
          <w:szCs w:val="21"/>
          <w14:textFill>
            <w14:solidFill>
              <w14:schemeClr w14:val="tx1"/>
            </w14:solidFill>
          </w14:textFill>
        </w:rPr>
        <w:t>规定的投标人必须具备的资格条件并经评标委员会审查通过的。</w:t>
      </w:r>
    </w:p>
    <w:p>
      <w:pPr>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合格的投标服务，所述的“服务”是指满足本项目实质要求的服务。</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相关说明</w:t>
      </w:r>
    </w:p>
    <w:p>
      <w:pPr>
        <w:pageBreakBefore w:val="0"/>
        <w:widowControl w:val="0"/>
        <w:numPr>
          <w:ilvl w:val="0"/>
          <w:numId w:val="12"/>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投标费用</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14:textFill>
            <w14:solidFill>
              <w14:schemeClr w14:val="tx1"/>
            </w14:solidFill>
          </w14:textFill>
        </w:rPr>
        <w:t>投标人应承担其参加投标所涉及的一切费用，不管投标结果如何，招标人对这些费用不负任何责任。</w:t>
      </w:r>
    </w:p>
    <w:p>
      <w:pPr>
        <w:pageBreakBefore w:val="0"/>
        <w:widowControl w:val="0"/>
        <w:numPr>
          <w:ilvl w:val="0"/>
          <w:numId w:val="12"/>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投标人在投标活动中提供任何虚假材料或从事其他违法活动的,其投标无效，并报监管部门查处。</w:t>
      </w:r>
    </w:p>
    <w:p>
      <w:pPr>
        <w:pageBreakBefore w:val="0"/>
        <w:widowControl w:val="0"/>
        <w:numPr>
          <w:ilvl w:val="0"/>
          <w:numId w:val="12"/>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投标人应仔细阅读招标文件的所有内容，按照招标文件的要求提交投标文件。投标文件应对招标文件的要求作出实质性响应，并对所提供的全部资料的真实性承担法律责任。</w:t>
      </w:r>
    </w:p>
    <w:p>
      <w:pPr>
        <w:pStyle w:val="3"/>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highlight w:val="none"/>
        </w:rPr>
      </w:pPr>
      <w:bookmarkStart w:id="172" w:name="_Toc240450078"/>
      <w:bookmarkStart w:id="173" w:name="_Toc22843"/>
      <w:bookmarkStart w:id="174" w:name="_Toc4359"/>
      <w:bookmarkStart w:id="175" w:name="_Toc367274978"/>
      <w:bookmarkStart w:id="176" w:name="_Toc294777232"/>
      <w:bookmarkStart w:id="177" w:name="_Toc24761"/>
      <w:bookmarkStart w:id="178" w:name="_Toc22934"/>
      <w:bookmarkStart w:id="179" w:name="_Toc251566651"/>
      <w:bookmarkStart w:id="180" w:name="_Toc28841"/>
      <w:bookmarkStart w:id="181" w:name="_Toc12404"/>
      <w:bookmarkStart w:id="182" w:name="_Toc3218"/>
      <w:bookmarkStart w:id="183" w:name="_Toc28898"/>
      <w:r>
        <w:rPr>
          <w:rFonts w:hint="eastAsia" w:ascii="宋体" w:hAnsi="宋体" w:cs="宋体"/>
          <w:highlight w:val="none"/>
        </w:rPr>
        <w:t>二、招标文件</w:t>
      </w:r>
      <w:bookmarkEnd w:id="172"/>
      <w:bookmarkEnd w:id="173"/>
      <w:bookmarkEnd w:id="174"/>
      <w:bookmarkEnd w:id="175"/>
      <w:bookmarkEnd w:id="176"/>
      <w:bookmarkEnd w:id="177"/>
      <w:bookmarkEnd w:id="178"/>
      <w:bookmarkEnd w:id="179"/>
      <w:bookmarkEnd w:id="180"/>
      <w:bookmarkEnd w:id="181"/>
      <w:bookmarkEnd w:id="182"/>
      <w:bookmarkEnd w:id="183"/>
    </w:p>
    <w:p>
      <w:pPr>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招标文件构成</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本招标文件包括目录所示内容及</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招标文件澄清、修改</w:t>
      </w:r>
      <w:r>
        <w:rPr>
          <w:rFonts w:hint="eastAsia" w:ascii="宋体" w:hAnsi="宋体" w:eastAsia="宋体" w:cs="宋体"/>
          <w:snapToGrid w:val="0"/>
          <w:color w:val="000000" w:themeColor="text1"/>
          <w:kern w:val="0"/>
          <w:sz w:val="21"/>
          <w:szCs w:val="21"/>
          <w14:textFill>
            <w14:solidFill>
              <w14:schemeClr w14:val="tx1"/>
            </w14:solidFill>
          </w14:textFill>
        </w:rPr>
        <w:t>发出的补充资料。</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除上述所列内容外，招标人的任何工作人员对投标人所作的任何口头解释、介绍、答复，只能供投标人参考，对招标人和投标人无任何约束力。</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招标文件是招标过程进行的有效依据，也是中标后签订合同的依据，对双方均具有约束力，凡不遵守招标文件规定或对招标文件的实质性内容不响应的，将可能被拒绝或以无效标处理。</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本招标文件由招标人依据相关法律、法规、规章、省市规定及招标文件进行解释。</w:t>
      </w:r>
    </w:p>
    <w:p>
      <w:pPr>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招标文件的澄清</w:t>
      </w:r>
    </w:p>
    <w:p>
      <w:pPr>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投标人在收到招标文件后，若有问题需要澄清或认为有必要与招标人进行技术交流，应于前</w:t>
      </w:r>
      <w:r>
        <w:rPr>
          <w:rFonts w:hint="eastAsia" w:ascii="宋体" w:hAnsi="宋体" w:eastAsia="宋体" w:cs="宋体"/>
          <w:snapToGrid w:val="0"/>
          <w:color w:val="000000" w:themeColor="text1"/>
          <w:kern w:val="0"/>
          <w:szCs w:val="21"/>
          <w14:textFill>
            <w14:solidFill>
              <w14:schemeClr w14:val="tx1"/>
            </w14:solidFill>
          </w14:textFill>
        </w:rPr>
        <w:t>附表规定的时间前，将问题</w:t>
      </w:r>
      <w:r>
        <w:rPr>
          <w:rFonts w:hint="eastAsia" w:ascii="宋体" w:hAnsi="宋体" w:eastAsia="宋体" w:cs="宋体"/>
          <w:snapToGrid w:val="0"/>
          <w:color w:val="000000" w:themeColor="text1"/>
          <w:kern w:val="0"/>
          <w:szCs w:val="21"/>
          <w:lang w:val="en-US" w:eastAsia="zh-CN"/>
          <w14:textFill>
            <w14:solidFill>
              <w14:schemeClr w14:val="tx1"/>
            </w14:solidFill>
          </w14:textFill>
        </w:rPr>
        <w:t>反馈</w:t>
      </w:r>
      <w:r>
        <w:rPr>
          <w:rFonts w:hint="eastAsia" w:ascii="宋体" w:hAnsi="宋体" w:eastAsia="宋体" w:cs="宋体"/>
          <w:snapToGrid w:val="0"/>
          <w:color w:val="000000" w:themeColor="text1"/>
          <w:kern w:val="0"/>
          <w:szCs w:val="21"/>
          <w14:textFill>
            <w14:solidFill>
              <w14:schemeClr w14:val="tx1"/>
            </w14:solidFill>
          </w14:textFill>
        </w:rPr>
        <w:t>至</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招标联系人</w:t>
      </w:r>
      <w:r>
        <w:rPr>
          <w:rFonts w:hint="eastAsia" w:ascii="宋体" w:hAnsi="宋体" w:eastAsia="宋体" w:cs="宋体"/>
          <w:snapToGrid w:val="0"/>
          <w:color w:val="000000" w:themeColor="text1"/>
          <w:kern w:val="0"/>
          <w:szCs w:val="21"/>
          <w14:textFill>
            <w14:solidFill>
              <w14:schemeClr w14:val="tx1"/>
            </w14:solidFill>
          </w14:textFill>
        </w:rPr>
        <w:t>，同时将问题发电子邮件至</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报名邮箱</w:t>
      </w:r>
      <w:r>
        <w:rPr>
          <w:rFonts w:hint="eastAsia" w:ascii="宋体" w:hAnsi="宋体" w:eastAsia="宋体" w:cs="宋体"/>
          <w:snapToGrid w:val="0"/>
          <w:color w:val="000000" w:themeColor="text1"/>
          <w:kern w:val="0"/>
          <w:szCs w:val="21"/>
          <w:highlight w:val="none"/>
          <w14:textFill>
            <w14:solidFill>
              <w14:schemeClr w14:val="tx1"/>
            </w14:solidFill>
          </w14:textFill>
        </w:rPr>
        <w:t>（电子邮件与书面文件有不一致的，以书面文件为准）。截止期后的疑问将不予受理、答复。</w:t>
      </w:r>
    </w:p>
    <w:p>
      <w:pPr>
        <w:numPr>
          <w:ilvl w:val="0"/>
          <w:numId w:val="15"/>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投标人要求解释或澄清的问题应以书面形式送达，并加盖公章或电子签章或合同章、写明日期。</w:t>
      </w:r>
    </w:p>
    <w:p>
      <w:pPr>
        <w:numPr>
          <w:ilvl w:val="0"/>
          <w:numId w:val="15"/>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所有要求解释或澄清的问题都予以解答，答疑文件与补充文件一起以书面形式告知所有</w:t>
      </w:r>
      <w:r>
        <w:rPr>
          <w:rFonts w:hint="eastAsia" w:ascii="宋体" w:hAnsi="宋体" w:eastAsia="宋体" w:cs="宋体"/>
          <w:snapToGrid w:val="0"/>
          <w:color w:val="000000" w:themeColor="text1"/>
          <w:kern w:val="0"/>
          <w:szCs w:val="21"/>
          <w:lang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招标文件的投标人。</w:t>
      </w:r>
    </w:p>
    <w:p>
      <w:pPr>
        <w:numPr>
          <w:ilvl w:val="0"/>
          <w:numId w:val="13"/>
        </w:numPr>
        <w:adjustRightInd w:val="0"/>
        <w:snapToGrid w:val="0"/>
        <w:spacing w:line="360" w:lineRule="auto"/>
        <w:ind w:left="0" w:leftChars="0" w:firstLine="420" w:firstLineChars="0"/>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招标文件的修改</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投标截止期前3天，由于各种原因，不论是自己主动提出还是答复投标人的澄清要求，招标人可能会以补充文件的形式修改或完善招标文件。补充文件的内容有可能对投标人编制文件投标文件造成影响的，招标人应当按照国家有关规定延长开标时间。</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招标文件的修改将以书面形式，包括邮寄、传真和电传，通知所有</w:t>
      </w:r>
      <w:r>
        <w:rPr>
          <w:rFonts w:hint="eastAsia" w:ascii="宋体" w:hAnsi="宋体" w:eastAsia="宋体" w:cs="宋体"/>
          <w:snapToGrid w:val="0"/>
          <w:color w:val="000000" w:themeColor="text1"/>
          <w:kern w:val="0"/>
          <w:szCs w:val="21"/>
          <w:lang w:val="en-US"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招标文件的投标人，并对其具有约束力。投标人在收到上述通知后，应在24小时内向招标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回函确认。</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在补充文件发布后，如果投标人认为制作投标文件的时间不充分的，必须在收到补充文件24小时内通知招标人。否则，视同投标人有充足时间编制投标文件。</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为使投标人编写投标文件时有充分的时间对招标文件的修改部分进行研究，招标人有权推迟投标截至时间和开标日期，并将此变更书面通知所有</w:t>
      </w:r>
      <w:r>
        <w:rPr>
          <w:rFonts w:hint="eastAsia" w:ascii="宋体" w:hAnsi="宋体" w:eastAsia="宋体" w:cs="宋体"/>
          <w:snapToGrid w:val="0"/>
          <w:color w:val="000000" w:themeColor="text1"/>
          <w:kern w:val="0"/>
          <w:szCs w:val="21"/>
          <w:lang w:val="en-US"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同一招标文件的投标人。</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招标文件澄清、答复、修改、补充的内容为招标文件的组成部分。当招标文件与招标文件的答复、澄清、修改、补充通知就同一内容的表述不一致时，以最后发出的书面文件为准。</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招标文件的澄清、答复、修改或补充都应该通过</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招标单位</w:t>
      </w:r>
      <w:r>
        <w:rPr>
          <w:rFonts w:hint="eastAsia" w:ascii="宋体" w:hAnsi="宋体" w:eastAsia="宋体" w:cs="宋体"/>
          <w:snapToGrid w:val="0"/>
          <w:color w:val="000000" w:themeColor="text1"/>
          <w:kern w:val="0"/>
          <w:szCs w:val="21"/>
          <w14:textFill>
            <w14:solidFill>
              <w14:schemeClr w14:val="tx1"/>
            </w14:solidFill>
          </w14:textFill>
        </w:rPr>
        <w:t>以法定形式发布，除此以外的发布不属于招标文件的组成部分。</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在招标文件发售截止后，经招标人同意</w:t>
      </w:r>
      <w:r>
        <w:rPr>
          <w:rFonts w:hint="eastAsia" w:ascii="宋体" w:hAnsi="宋体" w:eastAsia="宋体" w:cs="宋体"/>
          <w:snapToGrid w:val="0"/>
          <w:color w:val="000000" w:themeColor="text1"/>
          <w:kern w:val="0"/>
          <w:szCs w:val="21"/>
          <w:lang w:val="en-US"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招标文件的投标人不得对招标文件及其补充文件提出答疑或异议。</w:t>
      </w:r>
      <w:bookmarkStart w:id="184" w:name="_Toc367274979"/>
    </w:p>
    <w:p>
      <w:pPr>
        <w:pStyle w:val="3"/>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185" w:name="_Toc24977"/>
      <w:bookmarkStart w:id="186" w:name="_Toc30820"/>
      <w:bookmarkStart w:id="187" w:name="_Toc28938"/>
      <w:bookmarkStart w:id="188" w:name="_Toc7020"/>
      <w:bookmarkStart w:id="189" w:name="_Toc6225"/>
      <w:bookmarkStart w:id="190" w:name="_Toc12269"/>
      <w:bookmarkStart w:id="191" w:name="_Toc5829"/>
      <w:bookmarkStart w:id="192" w:name="_Toc7537"/>
      <w:r>
        <w:rPr>
          <w:rFonts w:hint="eastAsia" w:ascii="宋体" w:hAnsi="宋体" w:cs="宋体"/>
        </w:rPr>
        <w:t>三、投标文件的编制</w:t>
      </w:r>
      <w:bookmarkEnd w:id="170"/>
      <w:bookmarkEnd w:id="171"/>
      <w:bookmarkEnd w:id="184"/>
      <w:bookmarkEnd w:id="185"/>
      <w:bookmarkEnd w:id="186"/>
      <w:bookmarkEnd w:id="187"/>
      <w:bookmarkEnd w:id="188"/>
      <w:bookmarkEnd w:id="189"/>
      <w:bookmarkEnd w:id="190"/>
      <w:bookmarkEnd w:id="191"/>
      <w:bookmarkEnd w:id="192"/>
    </w:p>
    <w:p>
      <w:pPr>
        <w:adjustRightInd w:val="0"/>
        <w:snapToGrid w:val="0"/>
        <w:spacing w:line="360" w:lineRule="auto"/>
        <w:ind w:firstLine="422" w:firstLineChars="200"/>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应认真阅读招标文件中所有的事项、格式、条款和技术要求等。如果投标人没有按照招标文件要求和规定编制投标文件及提交全部资料，或者投标没有对招标文件中各方面作出实质性响应，其风险应由投标人承担。</w:t>
      </w:r>
    </w:p>
    <w:p>
      <w:pPr>
        <w:numPr>
          <w:ilvl w:val="0"/>
          <w:numId w:val="17"/>
        </w:numPr>
        <w:adjustRightInd w:val="0"/>
        <w:snapToGrid w:val="0"/>
        <w:spacing w:line="360" w:lineRule="auto"/>
        <w:ind w:left="0" w:leftChars="0" w:firstLine="420" w:firstLineChars="0"/>
        <w:rPr>
          <w:rFonts w:hint="eastAsia" w:ascii="宋体" w:hAnsi="宋体" w:eastAsia="宋体" w:cs="宋体"/>
          <w:b/>
          <w:snapToGrid w:val="0"/>
          <w:color w:val="000000" w:themeColor="text1"/>
          <w:kern w:val="0"/>
          <w:szCs w:val="21"/>
          <w:lang w:val="en-US" w:eastAsia="zh-CN"/>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投标文件的语言及计量单位</w:t>
      </w:r>
    </w:p>
    <w:p>
      <w:pPr>
        <w:numPr>
          <w:ilvl w:val="0"/>
          <w:numId w:val="18"/>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及投标人与招标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numPr>
          <w:ilvl w:val="0"/>
          <w:numId w:val="18"/>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除招标文件另有规定外，投标文件所使用的计量单位，均须采用中华人民共和国法定计量单位，否则视同未响应。</w:t>
      </w:r>
    </w:p>
    <w:p>
      <w:pPr>
        <w:numPr>
          <w:ilvl w:val="0"/>
          <w:numId w:val="17"/>
        </w:numPr>
        <w:adjustRightInd w:val="0"/>
        <w:snapToGrid w:val="0"/>
        <w:spacing w:line="360" w:lineRule="auto"/>
        <w:ind w:left="0" w:leftChars="0" w:firstLine="420" w:firstLineChars="0"/>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投标文件构成</w:t>
      </w:r>
    </w:p>
    <w:p>
      <w:pPr>
        <w:adjustRightInd w:val="0"/>
        <w:snapToGrid w:val="0"/>
        <w:spacing w:line="360" w:lineRule="auto"/>
        <w:ind w:firstLine="420"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投标人向招标人递交的投标文件由商务和技术文件、报价文件三部分组成，</w:t>
      </w:r>
      <w:r>
        <w:rPr>
          <w:rFonts w:hint="eastAsia" w:ascii="宋体" w:hAnsi="宋体" w:eastAsia="宋体" w:cs="宋体"/>
          <w:b/>
          <w:snapToGrid w:val="0"/>
          <w:color w:val="000000" w:themeColor="text1"/>
          <w:kern w:val="0"/>
          <w:szCs w:val="21"/>
          <w14:textFill>
            <w14:solidFill>
              <w14:schemeClr w14:val="tx1"/>
            </w14:solidFill>
          </w14:textFill>
        </w:rPr>
        <w:t>三部分文件建议装订成一册。</w:t>
      </w:r>
    </w:p>
    <w:p>
      <w:pPr>
        <w:numPr>
          <w:ilvl w:val="0"/>
          <w:numId w:val="1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报价文件：</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（1）投标函；</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（2）开标一览表；</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（3）投标报价明细表；</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（4）投标人认为针对报价需要说明的其他文件及资料。</w:t>
      </w:r>
    </w:p>
    <w:p>
      <w:pPr>
        <w:numPr>
          <w:ilvl w:val="0"/>
          <w:numId w:val="1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商务文件</w:t>
      </w:r>
      <w:r>
        <w:rPr>
          <w:rFonts w:hint="eastAsia" w:ascii="宋体" w:hAnsi="宋体" w:eastAsia="宋体" w:cs="宋体"/>
          <w:snapToGrid w:val="0"/>
          <w:color w:val="000000" w:themeColor="text1"/>
          <w:kern w:val="0"/>
          <w:szCs w:val="21"/>
          <w14:textFill>
            <w14:solidFill>
              <w14:schemeClr w14:val="tx1"/>
            </w14:solidFill>
          </w14:textFill>
        </w:rPr>
        <w:t>：</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（1）投标人基本情况表。</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w:t>
      </w:r>
      <w:r>
        <w:rPr>
          <w:rFonts w:hint="eastAsia" w:ascii="宋体" w:hAnsi="宋体" w:eastAsia="宋体" w:cs="宋体"/>
          <w:snapToGrid w:val="0"/>
          <w:color w:val="000000" w:themeColor="text1"/>
          <w:kern w:val="0"/>
          <w:szCs w:val="21"/>
          <w:lang w:val="en-US" w:eastAsia="zh-CN"/>
          <w14:textFill>
            <w14:solidFill>
              <w14:schemeClr w14:val="tx1"/>
            </w14:solidFill>
          </w14:textFill>
        </w:rPr>
        <w:t>投标保证金交款凭证复印件（如有）。</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法定代表人资格证明书及法定代表人授权书，同时须附法定代表人和授权委托代表的有效身份证复印件（法定代表人直接参加投标并对相应文件签字的，只需提供前者）。</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4</w:t>
      </w:r>
      <w:r>
        <w:rPr>
          <w:rFonts w:hint="eastAsia" w:ascii="宋体" w:hAnsi="宋体" w:eastAsia="宋体" w:cs="宋体"/>
          <w:snapToGrid w:val="0"/>
          <w:color w:val="000000" w:themeColor="text1"/>
          <w:kern w:val="0"/>
          <w:szCs w:val="21"/>
          <w14:textFill>
            <w14:solidFill>
              <w14:schemeClr w14:val="tx1"/>
            </w14:solidFill>
          </w14:textFill>
        </w:rPr>
        <w:t>）如下资格证明文件：</w:t>
      </w:r>
    </w:p>
    <w:p>
      <w:pPr>
        <w:pStyle w:val="42"/>
        <w:numPr>
          <w:ilvl w:val="0"/>
          <w:numId w:val="20"/>
        </w:numPr>
        <w:shd w:val="clear" w:color="auto" w:fill="FFFFFF"/>
        <w:tabs>
          <w:tab w:val="left" w:pos="630"/>
          <w:tab w:val="left" w:pos="840"/>
          <w:tab w:val="left" w:pos="1050"/>
        </w:tabs>
        <w:adjustRightInd w:val="0"/>
        <w:snapToGrid w:val="0"/>
        <w:spacing w:before="0" w:beforeAutospacing="0" w:after="0" w:afterAutospacing="0" w:line="360" w:lineRule="auto"/>
        <w:ind w:hanging="5"/>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具有独立承担民事责任能力的证明材料；</w:t>
      </w:r>
    </w:p>
    <w:p>
      <w:pPr>
        <w:pStyle w:val="42"/>
        <w:tabs>
          <w:tab w:val="left" w:pos="630"/>
          <w:tab w:val="left" w:pos="840"/>
          <w:tab w:val="left" w:pos="1050"/>
        </w:tabs>
        <w:adjustRightInd w:val="0"/>
        <w:snapToGrid w:val="0"/>
        <w:spacing w:before="0" w:beforeAutospacing="0" w:after="0" w:afterAutospacing="0" w:line="360" w:lineRule="auto"/>
        <w:ind w:left="42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投标人须在投标文件中出具符合以下情况的证明材料复印件（五选一）：</w:t>
      </w:r>
    </w:p>
    <w:p>
      <w:pPr>
        <w:pStyle w:val="42"/>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如投标人是企业（包括合伙企业），提供在工商部门注册的有效“企业法人营业执照”或“营业执照”；</w:t>
      </w:r>
    </w:p>
    <w:p>
      <w:pPr>
        <w:pStyle w:val="42"/>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如投标人是事业单位，提供有效的“事业单位法人证书”；</w:t>
      </w:r>
    </w:p>
    <w:p>
      <w:pPr>
        <w:pStyle w:val="42"/>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如投标人是非企业专业服务机构的，提供执业许可证等证明文件；</w:t>
      </w:r>
    </w:p>
    <w:p>
      <w:pPr>
        <w:pStyle w:val="42"/>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如投标人是个体工商户，提供有效的“个体工商户营业执照”；</w:t>
      </w:r>
    </w:p>
    <w:p>
      <w:pPr>
        <w:pStyle w:val="42"/>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如投标人是自然人，提供有效的自然人身份证明（居民身份证正反面或公安机关出具的临时居民身份证正反面或港澳台胞证或护照）。</w:t>
      </w:r>
    </w:p>
    <w:p>
      <w:pPr>
        <w:pStyle w:val="42"/>
        <w:tabs>
          <w:tab w:val="left" w:pos="630"/>
          <w:tab w:val="left" w:pos="840"/>
          <w:tab w:val="left" w:pos="1050"/>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投标活动，由单位负责人签署相关文件材料。</w:t>
      </w:r>
    </w:p>
    <w:p>
      <w:pPr>
        <w:pStyle w:val="42"/>
        <w:numPr>
          <w:ilvl w:val="0"/>
          <w:numId w:val="20"/>
        </w:numPr>
        <w:shd w:val="clear" w:color="auto" w:fill="FFFFFF"/>
        <w:tabs>
          <w:tab w:val="left" w:pos="630"/>
          <w:tab w:val="left" w:pos="840"/>
          <w:tab w:val="left" w:pos="1050"/>
        </w:tabs>
        <w:adjustRightInd w:val="0"/>
        <w:snapToGrid w:val="0"/>
        <w:spacing w:before="0" w:beforeAutospacing="0" w:after="0" w:afterAutospacing="0" w:line="360" w:lineRule="auto"/>
        <w:ind w:left="5" w:firstLine="415"/>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符合参与投标活动资格条件的承诺函；（参考格式见本文件第六部分）</w:t>
      </w:r>
    </w:p>
    <w:p>
      <w:pPr>
        <w:pStyle w:val="42"/>
        <w:tabs>
          <w:tab w:val="left" w:pos="630"/>
          <w:tab w:val="left" w:pos="840"/>
          <w:tab w:val="left" w:pos="1050"/>
        </w:tabs>
        <w:adjustRightInd w:val="0"/>
        <w:snapToGrid w:val="0"/>
        <w:spacing w:before="0" w:beforeAutospacing="0" w:after="0" w:afterAutospacing="0" w:line="360" w:lineRule="auto"/>
        <w:ind w:firstLine="491" w:firstLineChars="233"/>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特别说明：已完成信用修复的“缴纳税收和社会保障等方面的失信记录”不包含在《承诺函》第3点所述情形内（属于重大违法纪录情形的除外）。</w:t>
      </w:r>
    </w:p>
    <w:p>
      <w:pPr>
        <w:pStyle w:val="42"/>
        <w:numPr>
          <w:ilvl w:val="0"/>
          <w:numId w:val="20"/>
        </w:numPr>
        <w:shd w:val="clear" w:color="auto" w:fill="FFFFFF"/>
        <w:tabs>
          <w:tab w:val="left" w:pos="630"/>
          <w:tab w:val="left" w:pos="840"/>
          <w:tab w:val="left" w:pos="1050"/>
        </w:tabs>
        <w:adjustRightInd w:val="0"/>
        <w:snapToGrid w:val="0"/>
        <w:spacing w:before="0" w:beforeAutospacing="0" w:after="0" w:afterAutospacing="0" w:line="360" w:lineRule="auto"/>
        <w:ind w:hanging="5"/>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商业信誉：</w:t>
      </w:r>
    </w:p>
    <w:p>
      <w:pPr>
        <w:pStyle w:val="42"/>
        <w:numPr>
          <w:ilvl w:val="0"/>
          <w:numId w:val="22"/>
        </w:numPr>
        <w:adjustRightInd w:val="0"/>
        <w:snapToGrid w:val="0"/>
        <w:spacing w:before="0" w:beforeAutospacing="0" w:after="0" w:afterAutospacing="0" w:line="360" w:lineRule="auto"/>
        <w:ind w:left="0" w:leftChars="0" w:firstLine="398" w:firstLineChars="200"/>
        <w:jc w:val="both"/>
        <w:rPr>
          <w:rFonts w:hint="eastAsia" w:ascii="宋体" w:hAnsi="宋体" w:eastAsia="宋体" w:cs="宋体"/>
          <w:b/>
          <w:color w:val="000000" w:themeColor="text1"/>
          <w:spacing w:val="-6"/>
          <w:sz w:val="21"/>
          <w:szCs w:val="21"/>
          <w14:textFill>
            <w14:solidFill>
              <w14:schemeClr w14:val="tx1"/>
            </w14:solidFill>
          </w14:textFill>
        </w:rPr>
      </w:pPr>
      <w:r>
        <w:rPr>
          <w:rFonts w:hint="eastAsia" w:ascii="宋体" w:hAnsi="宋体" w:eastAsia="宋体" w:cs="宋体"/>
          <w:b/>
          <w:color w:val="000000" w:themeColor="text1"/>
          <w:spacing w:val="-6"/>
          <w:sz w:val="21"/>
          <w:szCs w:val="21"/>
          <w14:textFill>
            <w14:solidFill>
              <w14:schemeClr w14:val="tx1"/>
            </w14:solidFill>
          </w14:textFill>
        </w:rPr>
        <w:t>至本项目投标截止时间止未列入失信被执行人、重大税收违法案件当事人名单、政府采购严重违法失信行为记录名单。（</w:t>
      </w:r>
      <w:r>
        <w:rPr>
          <w:rFonts w:hint="eastAsia" w:ascii="宋体" w:hAnsi="宋体" w:eastAsia="宋体" w:cs="宋体"/>
          <w:b/>
          <w:color w:val="000000" w:themeColor="text1"/>
          <w:spacing w:val="-6"/>
          <w:sz w:val="21"/>
          <w:szCs w:val="21"/>
          <w:lang w:val="en-US" w:eastAsia="zh-CN"/>
          <w14:textFill>
            <w14:solidFill>
              <w14:schemeClr w14:val="tx1"/>
            </w14:solidFill>
          </w14:textFill>
        </w:rPr>
        <w:t>招标单位</w:t>
      </w:r>
      <w:r>
        <w:rPr>
          <w:rFonts w:hint="eastAsia" w:ascii="宋体" w:hAnsi="宋体" w:eastAsia="宋体" w:cs="宋体"/>
          <w:b/>
          <w:color w:val="000000" w:themeColor="text1"/>
          <w:spacing w:val="-6"/>
          <w:sz w:val="21"/>
          <w:szCs w:val="21"/>
          <w14:textFill>
            <w14:solidFill>
              <w14:schemeClr w14:val="tx1"/>
            </w14:solidFill>
          </w14:textFill>
        </w:rPr>
        <w:t>以开标当日在“信用中国”网站（www.creditchina.gov.cn）、中国政府采购网（www.ccgp.gov.cn）网页查询记录为准）</w:t>
      </w:r>
    </w:p>
    <w:p>
      <w:pPr>
        <w:pStyle w:val="42"/>
        <w:adjustRightInd w:val="0"/>
        <w:snapToGrid w:val="0"/>
        <w:spacing w:before="0" w:beforeAutospacing="0" w:after="0" w:afterAutospacing="0" w:line="360" w:lineRule="auto"/>
        <w:ind w:firstLine="416" w:firstLineChars="209"/>
        <w:jc w:val="both"/>
        <w:rPr>
          <w:rFonts w:hint="eastAsia" w:ascii="宋体" w:hAnsi="宋体" w:eastAsia="宋体" w:cs="宋体"/>
          <w:b/>
          <w:color w:val="000000" w:themeColor="text1"/>
          <w:spacing w:val="-6"/>
          <w:sz w:val="21"/>
          <w:szCs w:val="21"/>
          <w14:textFill>
            <w14:solidFill>
              <w14:schemeClr w14:val="tx1"/>
            </w14:solidFill>
          </w14:textFill>
        </w:rPr>
      </w:pPr>
      <w:r>
        <w:rPr>
          <w:rFonts w:hint="eastAsia" w:ascii="宋体" w:hAnsi="宋体" w:eastAsia="宋体" w:cs="宋体"/>
          <w:b/>
          <w:color w:val="000000" w:themeColor="text1"/>
          <w:spacing w:val="-6"/>
          <w:sz w:val="21"/>
          <w:szCs w:val="21"/>
          <w14:textFill>
            <w14:solidFill>
              <w14:schemeClr w14:val="tx1"/>
            </w14:solidFill>
          </w14:textFill>
        </w:rPr>
        <w:t>经查询列入失信被执行人、重大税收违法案件当事人名单、政府采购严重违法失信行为记录名单，截至本项目开标前三年内因违法经营收到刑事处罚或者责令停产停业、吊销许可证或者执照、较大数额罚款等行政处罚的，其投标无效，无效投标人的信用记录查询结果截图将作为项目材料的组成部分。</w:t>
      </w:r>
    </w:p>
    <w:p>
      <w:pPr>
        <w:pStyle w:val="42"/>
        <w:adjustRightInd w:val="0"/>
        <w:snapToGrid w:val="0"/>
        <w:spacing w:before="0" w:beforeAutospacing="0" w:after="0" w:afterAutospacing="0" w:line="360" w:lineRule="auto"/>
        <w:ind w:firstLine="416" w:firstLineChars="209"/>
        <w:jc w:val="both"/>
        <w:rPr>
          <w:rFonts w:hint="eastAsia" w:ascii="宋体" w:hAnsi="宋体" w:eastAsia="宋体" w:cs="宋体"/>
          <w:b/>
          <w:color w:val="000000" w:themeColor="text1"/>
          <w:spacing w:val="-6"/>
          <w:sz w:val="21"/>
          <w:szCs w:val="21"/>
          <w14:textFill>
            <w14:solidFill>
              <w14:schemeClr w14:val="tx1"/>
            </w14:solidFill>
          </w14:textFill>
        </w:rPr>
      </w:pPr>
      <w:r>
        <w:rPr>
          <w:rFonts w:hint="eastAsia" w:ascii="宋体" w:hAnsi="宋体" w:eastAsia="宋体" w:cs="宋体"/>
          <w:b/>
          <w:color w:val="000000" w:themeColor="text1"/>
          <w:spacing w:val="-6"/>
          <w:sz w:val="21"/>
          <w:szCs w:val="21"/>
          <w14:textFill>
            <w14:solidFill>
              <w14:schemeClr w14:val="tx1"/>
            </w14:solidFill>
          </w14:textFill>
        </w:rPr>
        <w:t>说明：较大数额罚款的认定，以判罚机关所在地或相关部门明确的听证范围为准。</w:t>
      </w:r>
    </w:p>
    <w:p>
      <w:pPr>
        <w:numPr>
          <w:ilvl w:val="0"/>
          <w:numId w:val="22"/>
        </w:numPr>
        <w:tabs>
          <w:tab w:val="left" w:pos="720"/>
        </w:tabs>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特定资格条件对应的证明材料：无</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上述资格证明文件是评标委员会对投标人资格进行合格性审查的评审依据，投标人应提交上述文件复印件并加盖公章或电子签章或合同章，原件带至评标现场备查。如评审过程中须提供原件及相关材料时，投标人须无条件在规定时间内向评标委员会提供原件及相关材料查验；如发现查验的原件与投标文件中所附的复印件不一致，则视为提供虚假证明材料投标，其投标文件无效；如发现投标人不能在规定时间内向评标委员会提供证明材料原件供查验的，则视为其投标文件所附证明材料缺乏真实性，其投标文件作无效标处理。</w:t>
      </w:r>
    </w:p>
    <w:p>
      <w:pPr>
        <w:numPr>
          <w:ilvl w:val="0"/>
          <w:numId w:val="2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合同条款偏离表</w:t>
      </w:r>
      <w:r>
        <w:rPr>
          <w:rFonts w:hint="eastAsia" w:ascii="宋体" w:hAnsi="宋体" w:eastAsia="宋体" w:cs="宋体"/>
          <w:snapToGrid w:val="0"/>
          <w:color w:val="000000" w:themeColor="text1"/>
          <w:kern w:val="0"/>
          <w:szCs w:val="21"/>
          <w14:textFill>
            <w14:solidFill>
              <w14:schemeClr w14:val="tx1"/>
            </w14:solidFill>
          </w14:textFill>
        </w:rPr>
        <w:t>。</w:t>
      </w:r>
    </w:p>
    <w:p>
      <w:pPr>
        <w:numPr>
          <w:ilvl w:val="0"/>
          <w:numId w:val="22"/>
        </w:numPr>
        <w:adjustRightInd w:val="0"/>
        <w:snapToGrid w:val="0"/>
        <w:spacing w:line="360" w:lineRule="auto"/>
        <w:ind w:left="0" w:leftChars="0" w:firstLine="420" w:firstLineChars="200"/>
        <w:jc w:val="both"/>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类似业绩的证明材料（合同复印件等证明材料等）。</w:t>
      </w:r>
    </w:p>
    <w:p>
      <w:pPr>
        <w:numPr>
          <w:ilvl w:val="0"/>
          <w:numId w:val="2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具备法律、行政法规规定的其他条件的证明材料。</w:t>
      </w:r>
    </w:p>
    <w:p>
      <w:pPr>
        <w:numPr>
          <w:ilvl w:val="0"/>
          <w:numId w:val="1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技术文件，</w:t>
      </w:r>
      <w:r>
        <w:rPr>
          <w:rFonts w:hint="eastAsia" w:ascii="宋体" w:hAnsi="宋体" w:eastAsia="宋体" w:cs="宋体"/>
          <w:snapToGrid w:val="0"/>
          <w:color w:val="000000" w:themeColor="text1"/>
          <w:kern w:val="0"/>
          <w:szCs w:val="21"/>
          <w14:textFill>
            <w14:solidFill>
              <w14:schemeClr w14:val="tx1"/>
            </w14:solidFill>
          </w14:textFill>
        </w:rPr>
        <w:t>内容可以是资料，图表或说明，必须包含但不仅限于以下内容：</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val="0"/>
          <w:bCs w:val="0"/>
          <w:snapToGrid w:val="0"/>
          <w:color w:val="000000" w:themeColor="text1"/>
          <w:kern w:val="0"/>
          <w:szCs w:val="21"/>
          <w14:textFill>
            <w14:solidFill>
              <w14:schemeClr w14:val="tx1"/>
            </w14:solidFill>
          </w14:textFill>
        </w:rPr>
      </w:pPr>
      <w:r>
        <w:rPr>
          <w:rFonts w:hint="eastAsia" w:ascii="宋体" w:hAnsi="宋体" w:eastAsia="宋体" w:cs="宋体"/>
          <w:b w:val="0"/>
          <w:bCs w:val="0"/>
          <w:snapToGrid w:val="0"/>
          <w:color w:val="000000" w:themeColor="text1"/>
          <w:kern w:val="0"/>
          <w:szCs w:val="21"/>
          <w14:textFill>
            <w14:solidFill>
              <w14:schemeClr w14:val="tx1"/>
            </w14:solidFill>
          </w14:textFill>
        </w:rPr>
        <w:t>技术偏离表；</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和评分有关的相关内容；</w:t>
      </w:r>
      <w:r>
        <w:rPr>
          <w:rFonts w:hint="eastAsia" w:ascii="宋体" w:hAnsi="宋体" w:eastAsia="宋体" w:cs="宋体"/>
          <w:color w:val="000000" w:themeColor="text1"/>
          <w:szCs w:val="21"/>
          <w14:textFill>
            <w14:solidFill>
              <w14:schemeClr w14:val="tx1"/>
            </w14:solidFill>
          </w14:textFill>
        </w:rPr>
        <w:tab/>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投标人认为需要提供的其它与评分有关的文件及资料。</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以上内容按照招标文件第六部分附件所附格式填写。没有提供格式的，投标人根据实际情况自行设计并编制。</w:t>
      </w:r>
    </w:p>
    <w:p>
      <w:pPr>
        <w:numPr>
          <w:ilvl w:val="0"/>
          <w:numId w:val="17"/>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投标函</w:t>
      </w:r>
    </w:p>
    <w:p>
      <w:pPr>
        <w:numPr>
          <w:ilvl w:val="0"/>
          <w:numId w:val="2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投标人应完整地填写招标文件中提供的投标函和投标相关附件。</w:t>
      </w:r>
    </w:p>
    <w:p>
      <w:pPr>
        <w:numPr>
          <w:ilvl w:val="0"/>
          <w:numId w:val="2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投标文件应当对招标文件中有关投标有效期、招标需求等实质性内容作出响应。投标人在满足招标文件实质性要求的基础上，可以提出比招标文件要求更有利于招标人的承诺。</w:t>
      </w:r>
    </w:p>
    <w:p>
      <w:pPr>
        <w:numPr>
          <w:ilvl w:val="0"/>
          <w:numId w:val="17"/>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投标报价</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本项目由投标人按文件要求及现场踏勘情况,并按规定的要求进行报价</w:t>
      </w:r>
      <w:r>
        <w:rPr>
          <w:rFonts w:hint="eastAsia" w:ascii="宋体" w:hAnsi="宋体" w:eastAsia="宋体" w:cs="宋体"/>
          <w:b/>
          <w:snapToGrid w:val="0"/>
          <w:color w:val="000000" w:themeColor="text1"/>
          <w:kern w:val="0"/>
          <w:szCs w:val="21"/>
          <w14:textFill>
            <w14:solidFill>
              <w14:schemeClr w14:val="tx1"/>
            </w14:solidFill>
          </w14:textFill>
        </w:rPr>
        <w:t>。</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本项目为总价包干项目。</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投标文件中用文字表示的报价与用数字表示的报价不一致时以文字为准。</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投标人务必先到踏勘以充分了解现场位置、情况、道路、建筑及功能运行情况、通行限制及任何其它足以影响价格的情况，任何因忽视或误解而导致的索赔申请将不获批准。</w:t>
      </w:r>
    </w:p>
    <w:p>
      <w:pPr>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投标人应承担其编制报价文件与递交报价文件所涉及的一切费用。不论评标结果如何，招标人在任何情况下无义务和也无责任承担这些费用。</w:t>
      </w:r>
    </w:p>
    <w:p>
      <w:pPr>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 投标报价是采购文件所确定的采购范围内全部工作内容的价格表现，包括有关本项目所需的设备货款、标准附件、软件、系统、备品备件、专用工具、包装、运输、装卸、安装、装潢、调试、设备保护、总包配合费(安装调试费的 3%)、保修、税金、规费、保险、调试检测费及实施本项目所需的其他一切费用均计入报价，采购人不在支付额外费用。投标人估算错误或漏项的风险均由投标人承担。</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投标货币</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投标人用人民币报价。</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投标保证金</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投标人应提供不少于投标须知前附表中所述金额的投标保证金，此保证金是投标文件的一个组成部分。</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投标保证金可采用银行汇票或电汇方式，投标人应在投标截止时间之前提交。</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对于未能按要求提交投标保证金的投标人，招标人可以视为不响应投标而予以拒绝。</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val="0"/>
          <w:bCs w:val="0"/>
          <w:snapToGrid w:val="0"/>
          <w:color w:val="000000" w:themeColor="text1"/>
          <w:kern w:val="0"/>
          <w:szCs w:val="21"/>
          <w14:textFill>
            <w14:solidFill>
              <w14:schemeClr w14:val="tx1"/>
            </w14:solidFill>
          </w14:textFill>
        </w:rPr>
      </w:pPr>
      <w:r>
        <w:rPr>
          <w:rFonts w:hint="eastAsia" w:ascii="宋体" w:hAnsi="宋体" w:eastAsia="宋体" w:cs="宋体"/>
          <w:b w:val="0"/>
          <w:bCs w:val="0"/>
          <w:color w:val="000000" w:themeColor="text1"/>
          <w:szCs w:val="21"/>
          <w14:textFill>
            <w14:solidFill>
              <w14:schemeClr w14:val="tx1"/>
            </w14:solidFill>
          </w14:textFill>
        </w:rPr>
        <w:t>合同签订后5日内向中标人和未中标的投标人退还投标保证金</w:t>
      </w:r>
      <w:r>
        <w:rPr>
          <w:rFonts w:hint="eastAsia" w:ascii="宋体" w:hAnsi="宋体" w:eastAsia="宋体" w:cs="宋体"/>
          <w:b w:val="0"/>
          <w:bCs w:val="0"/>
          <w:snapToGrid w:val="0"/>
          <w:color w:val="000000" w:themeColor="text1"/>
          <w:kern w:val="0"/>
          <w:szCs w:val="21"/>
          <w14:textFill>
            <w14:solidFill>
              <w14:schemeClr w14:val="tx1"/>
            </w14:solidFill>
          </w14:textFill>
        </w:rPr>
        <w:t>。</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投标保证金的没收</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投标人如有下列情况之一者，将被没收投标保证金：</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（1）投标有效期内撤回投标文件的；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（2）拒绝接受投标文件（包括澄清确认的内容）中已确认的承诺或条款的；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（3）中标人未能在规定期限内提交履约保证金的；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（4）中标人在规定期限内因自身原因未能根据要求签订合同的；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（5）经查实有串通投标、抬标、提供虚假证明材料行为的；</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没收的投标保证金归招标人所有。法律、法规、规章另有规定的，从其规定。</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投标有效期</w:t>
      </w:r>
    </w:p>
    <w:p>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投标文件在开标之日起90日历天内有效。</w:t>
      </w:r>
    </w:p>
    <w:p>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原定投标有效期满之前，如果出现特殊情况，招标人可以以书面形式向投标人提出延长投标有效期的要求。这种要求与答复均应采用书面形式如传真或信件等。投标人可以拒绝接受招标人的这种要求而放弃投标。招标人在接到投标人书面答复后，将在原投标有限期满后</w:t>
      </w:r>
      <w:r>
        <w:rPr>
          <w:rFonts w:hint="eastAsia" w:ascii="宋体" w:hAnsi="宋体" w:eastAsia="宋体" w:cs="宋体"/>
          <w:snapToGrid w:val="0"/>
          <w:color w:val="000000" w:themeColor="text1"/>
          <w:kern w:val="0"/>
          <w:szCs w:val="21"/>
          <w:lang w:val="en-US" w:eastAsia="zh-CN"/>
          <w14:textFill>
            <w14:solidFill>
              <w14:schemeClr w14:val="tx1"/>
            </w14:solidFill>
          </w14:textFill>
        </w:rPr>
        <w:t>三十</w:t>
      </w:r>
      <w:r>
        <w:rPr>
          <w:rFonts w:hint="eastAsia" w:ascii="宋体" w:hAnsi="宋体" w:eastAsia="宋体" w:cs="宋体"/>
          <w:snapToGrid w:val="0"/>
          <w:color w:val="000000" w:themeColor="text1"/>
          <w:kern w:val="0"/>
          <w:szCs w:val="21"/>
          <w14:textFill>
            <w14:solidFill>
              <w14:schemeClr w14:val="tx1"/>
            </w14:solidFill>
          </w14:textFill>
        </w:rPr>
        <w:t>个工作日内无息退还其投标保证金。接受延长投标有效期的投标人将不会被要求和允许修正其投标，而只会被要求相应延长投标保证金的有效期。在这种情况下</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有关投标保证金的退还和没收的规定将在延长了的有效期内继续有效。同时受投标有限期约束的所有权力和义务均延长至新的有限期。</w:t>
      </w:r>
    </w:p>
    <w:p>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中标人的投标文件自开标之日起至合同履行完毕止均应保持有效。</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投标文件的式样和签署</w:t>
      </w:r>
    </w:p>
    <w:p>
      <w:pPr>
        <w:keepNext w:val="0"/>
        <w:keepLines w:val="0"/>
        <w:pageBreakBefore w:val="0"/>
        <w:widowControl w:val="0"/>
        <w:numPr>
          <w:ilvl w:val="0"/>
          <w:numId w:val="28"/>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bookmarkStart w:id="193" w:name="_Toc240450080"/>
      <w:bookmarkStart w:id="194" w:name="_Toc251566653"/>
      <w:r>
        <w:rPr>
          <w:rFonts w:hint="eastAsia" w:ascii="宋体" w:hAnsi="宋体" w:eastAsia="宋体" w:cs="宋体"/>
          <w:snapToGrid w:val="0"/>
          <w:color w:val="000000" w:themeColor="text1"/>
          <w:kern w:val="0"/>
          <w:szCs w:val="21"/>
          <w14:textFill>
            <w14:solidFill>
              <w14:schemeClr w14:val="tx1"/>
            </w14:solidFill>
          </w14:textFill>
        </w:rPr>
        <w:t>投标人应按照本招标文件规定的格式和顺序编制、装订投标文件。投标文件内容不完整、编排混乱导致投标文件被误读、漏读，或者在按招标文件规定装订成册的部分查找不到相关内容的，是投标人的责任。</w:t>
      </w:r>
    </w:p>
    <w:p>
      <w:pPr>
        <w:keepNext w:val="0"/>
        <w:keepLines w:val="0"/>
        <w:pageBreakBefore w:val="0"/>
        <w:widowControl w:val="0"/>
        <w:numPr>
          <w:ilvl w:val="0"/>
          <w:numId w:val="28"/>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投标人递交的纸质投标文件包括 “正本”一份、“副本”二份、电子文档一份。每份文件包含商务和技术文件、报价文件三部分内容，其中投标文件的正本必须打印或用不褪色墨水书写，字迹须清晰易于辨认。投标文件的正本和副本有不一致的，以正本为准。</w:t>
      </w:r>
    </w:p>
    <w:p>
      <w:pPr>
        <w:keepNext w:val="0"/>
        <w:keepLines w:val="0"/>
        <w:pageBreakBefore w:val="0"/>
        <w:widowControl w:val="0"/>
        <w:numPr>
          <w:ilvl w:val="0"/>
          <w:numId w:val="28"/>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投标文件的投标函应加盖投标人公章或电子签章或合同章，并经法定代表人或其委托代理人签字。</w:t>
      </w:r>
      <w:r>
        <w:rPr>
          <w:rFonts w:hint="eastAsia" w:ascii="宋体" w:hAnsi="宋体" w:eastAsia="宋体" w:cs="宋体"/>
          <w:b/>
          <w:snapToGrid w:val="0"/>
          <w:color w:val="000000" w:themeColor="text1"/>
          <w:kern w:val="0"/>
          <w:szCs w:val="21"/>
          <w14:textFill>
            <w14:solidFill>
              <w14:schemeClr w14:val="tx1"/>
            </w14:solidFill>
          </w14:textFill>
        </w:rPr>
        <w:t>投标文件中有委托代理人签字或盖章的必须同时提供法定代表人资格证明书及授权委托函（书）</w:t>
      </w:r>
      <w:r>
        <w:rPr>
          <w:rFonts w:hint="eastAsia" w:ascii="宋体" w:hAnsi="宋体" w:eastAsia="宋体" w:cs="宋体"/>
          <w:snapToGrid w:val="0"/>
          <w:color w:val="000000" w:themeColor="text1"/>
          <w:kern w:val="0"/>
          <w:szCs w:val="21"/>
          <w14:textFill>
            <w14:solidFill>
              <w14:schemeClr w14:val="tx1"/>
            </w14:solidFill>
          </w14:textFill>
        </w:rPr>
        <w:t>。法定代表人资格证明书及授权委托函格式、签字、盖章及内容均应符合要求，否则投标文件无效。投标文件正本中依据招标文件要求加盖投标人公章或电子签章或合同章、法定代表人或其委托代理人签字或盖章的地方须为原件。副本可复印正本内容。</w:t>
      </w:r>
    </w:p>
    <w:p>
      <w:pPr>
        <w:numPr>
          <w:ilvl w:val="0"/>
          <w:numId w:val="2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除投标人对错误之处必须修改外，全套投标文件应无涂改或行间插字和增删。修改处须有投标人法定代表人或被授权代表的签字或盖章，否则，评标委员会将不予接受。</w:t>
      </w:r>
    </w:p>
    <w:p>
      <w:pPr>
        <w:numPr>
          <w:ilvl w:val="0"/>
          <w:numId w:val="2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每册目录所示页码应该是该册唯一的页码，其唯一的页码应该与目录所示的页码相吻合。投标人应针对评标细则逐条编制响应内容并标注对应页码，否则招标人不承担因为该项错误导致找不到目录所示内容而漏评或因标书编制质量而被扣分的责任。</w:t>
      </w:r>
    </w:p>
    <w:p>
      <w:pPr>
        <w:pStyle w:val="3"/>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195" w:name="_Toc4716"/>
      <w:bookmarkStart w:id="196" w:name="_Toc8048"/>
      <w:bookmarkStart w:id="197" w:name="_Toc46421260"/>
      <w:bookmarkStart w:id="198" w:name="_Toc18025"/>
      <w:bookmarkStart w:id="199" w:name="_Toc367274980"/>
      <w:bookmarkStart w:id="200" w:name="_Toc14415"/>
      <w:bookmarkStart w:id="201" w:name="_Toc7719"/>
      <w:bookmarkStart w:id="202" w:name="_Toc21770"/>
      <w:bookmarkStart w:id="203" w:name="_Toc16063"/>
      <w:bookmarkStart w:id="204" w:name="_Toc21358"/>
      <w:r>
        <w:rPr>
          <w:rFonts w:hint="eastAsia" w:ascii="宋体" w:hAnsi="宋体" w:cs="宋体"/>
        </w:rPr>
        <w:t>四、投标文件的递交</w:t>
      </w:r>
      <w:bookmarkEnd w:id="193"/>
      <w:bookmarkEnd w:id="194"/>
      <w:bookmarkEnd w:id="195"/>
      <w:bookmarkEnd w:id="196"/>
      <w:bookmarkEnd w:id="197"/>
      <w:bookmarkEnd w:id="198"/>
      <w:bookmarkEnd w:id="199"/>
      <w:bookmarkEnd w:id="200"/>
      <w:bookmarkEnd w:id="201"/>
      <w:bookmarkEnd w:id="202"/>
      <w:bookmarkEnd w:id="203"/>
      <w:bookmarkEnd w:id="204"/>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投标文件的密封与标志</w:t>
      </w:r>
    </w:p>
    <w:p>
      <w:pPr>
        <w:numPr>
          <w:ilvl w:val="0"/>
          <w:numId w:val="30"/>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投标人须将投标文件密封包装。</w:t>
      </w:r>
    </w:p>
    <w:p>
      <w:pPr>
        <w:numPr>
          <w:ilvl w:val="0"/>
          <w:numId w:val="30"/>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密封处加盖投标人公章或电子签章或合同章或密封章。</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密封袋均应注明：</w:t>
      </w:r>
    </w:p>
    <w:p>
      <w:pPr>
        <w:pStyle w:val="20"/>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（1）招标人名称：</w:t>
      </w:r>
    </w:p>
    <w:p>
      <w:pPr>
        <w:pStyle w:val="20"/>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招标人地址：</w:t>
      </w:r>
    </w:p>
    <w:p>
      <w:pPr>
        <w:pStyle w:val="20"/>
        <w:spacing w:line="360" w:lineRule="auto"/>
        <w:ind w:left="0" w:rightChars="0" w:firstLine="420" w:firstLineChars="200"/>
        <w:jc w:val="both"/>
        <w:rPr>
          <w:rFonts w:hint="eastAsia" w:ascii="宋体" w:hAnsi="宋体" w:eastAsia="宋体" w:cs="宋体"/>
          <w:snapToGrid w:val="0"/>
          <w:color w:val="000000" w:themeColor="text1"/>
          <w:kern w:val="0"/>
          <w:sz w:val="21"/>
          <w:szCs w:val="21"/>
          <w:u w:val="single"/>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（2）投标人名称：</w:t>
      </w:r>
    </w:p>
    <w:p>
      <w:pPr>
        <w:pStyle w:val="20"/>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投标人地址：</w:t>
      </w:r>
    </w:p>
    <w:p>
      <w:pPr>
        <w:pStyle w:val="20"/>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（3）项目名称：</w:t>
      </w:r>
    </w:p>
    <w:p>
      <w:pPr>
        <w:pStyle w:val="20"/>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项目编号：</w:t>
      </w:r>
    </w:p>
    <w:p>
      <w:pPr>
        <w:numPr>
          <w:ilvl w:val="0"/>
          <w:numId w:val="30"/>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如果包封没有按上述规定密封并加写标志，招标人对误投或过早启封概不负责。对由此造成的提前开封的投标文件，招标人将予以拒绝，并退还给投标人。</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bookmarkStart w:id="205" w:name="_Toc251566654"/>
      <w:bookmarkStart w:id="206" w:name="_Toc240450081"/>
      <w:r>
        <w:rPr>
          <w:rFonts w:hint="eastAsia" w:ascii="宋体" w:hAnsi="宋体" w:eastAsia="宋体" w:cs="宋体"/>
          <w:b/>
          <w:snapToGrid w:val="0"/>
          <w:color w:val="000000" w:themeColor="text1"/>
          <w:kern w:val="0"/>
          <w:szCs w:val="21"/>
          <w14:textFill>
            <w14:solidFill>
              <w14:schemeClr w14:val="tx1"/>
            </w14:solidFill>
          </w14:textFill>
        </w:rPr>
        <w:t>投标截止期</w:t>
      </w:r>
    </w:p>
    <w:p>
      <w:pPr>
        <w:numPr>
          <w:ilvl w:val="0"/>
          <w:numId w:val="3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投标人应按前附表规定的日期、时间和地点递交投标文件。</w:t>
      </w:r>
    </w:p>
    <w:p>
      <w:pPr>
        <w:numPr>
          <w:ilvl w:val="0"/>
          <w:numId w:val="3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招标人收到投标文件的时间不得迟于投标人须知前附表中规定的截止时间。</w:t>
      </w:r>
    </w:p>
    <w:p>
      <w:pPr>
        <w:numPr>
          <w:ilvl w:val="0"/>
          <w:numId w:val="3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招标人通过修改招标文件适当延长投标截止日期。在此情况下，招标人与投标人受投标截止期制约的所有权利和义务均应延长至新的截止期。</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迟交的投标文件</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招标人将拒绝并原封退回在规定的截止期后收到的任何投标文件。</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投标文件的修改与撤回</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投标人在递交投标文件后，可以在规定的投标截止时间前，以书面的形式通知招标人，修改或撤回其投标文件。</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投标人的修改或撤回通知，应按规定编制、密封、标志和递交（在外层包封上标明“修改”或“撤回”字样）。修改文件同样必须在投标截止时间前送达招标人。</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在投标截止期之后，投标人不得对其投标作任何修改。</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从投标截止期至投标人在投标函格式中确定的投标有效期期满这段时间内，投标人不得撤回其投标，否则其投标保证金将按不予退还。</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无效投标的认定</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实质上没有响应招标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1.资格性审查，如发现下列情形之一的，评标委员会将</w:t>
      </w:r>
      <w:r>
        <w:rPr>
          <w:rFonts w:hint="eastAsia" w:ascii="宋体" w:hAnsi="宋体" w:eastAsia="宋体" w:cs="宋体"/>
          <w:snapToGrid w:val="0"/>
          <w:color w:val="000000" w:themeColor="text1"/>
          <w:kern w:val="0"/>
          <w:szCs w:val="21"/>
          <w:lang w:val="en-US" w:eastAsia="zh-CN"/>
          <w14:textFill>
            <w14:solidFill>
              <w14:schemeClr w14:val="tx1"/>
            </w14:solidFill>
          </w14:textFill>
        </w:rPr>
        <w:t>有权</w:t>
      </w:r>
      <w:r>
        <w:rPr>
          <w:rFonts w:hint="eastAsia" w:ascii="宋体" w:hAnsi="宋体" w:eastAsia="宋体" w:cs="宋体"/>
          <w:snapToGrid w:val="0"/>
          <w:color w:val="000000" w:themeColor="text1"/>
          <w:kern w:val="0"/>
          <w:szCs w:val="21"/>
          <w14:textFill>
            <w14:solidFill>
              <w14:schemeClr w14:val="tx1"/>
            </w14:solidFill>
          </w14:textFill>
        </w:rPr>
        <w:t>否决其投标：</w:t>
      </w:r>
    </w:p>
    <w:p>
      <w:pPr>
        <w:numPr>
          <w:ilvl w:val="0"/>
          <w:numId w:val="33"/>
        </w:numPr>
        <w:tabs>
          <w:tab w:val="left" w:pos="900"/>
        </w:tabs>
        <w:adjustRightInd w:val="0"/>
        <w:snapToGrid w:val="0"/>
        <w:spacing w:line="360" w:lineRule="auto"/>
        <w:ind w:left="0" w:firstLine="36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资格证明文件不全的或者不符合招标文件标明的资格要求的；</w:t>
      </w:r>
    </w:p>
    <w:p>
      <w:pPr>
        <w:numPr>
          <w:ilvl w:val="0"/>
          <w:numId w:val="33"/>
        </w:numPr>
        <w:tabs>
          <w:tab w:val="left" w:pos="900"/>
        </w:tabs>
        <w:adjustRightInd w:val="0"/>
        <w:snapToGrid w:val="0"/>
        <w:spacing w:line="360" w:lineRule="auto"/>
        <w:ind w:left="0" w:firstLine="36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未按规定交纳投标保证金的（含投标文件中未附投标保证金交纳凭据的）；</w:t>
      </w:r>
    </w:p>
    <w:p>
      <w:pPr>
        <w:numPr>
          <w:ilvl w:val="0"/>
          <w:numId w:val="33"/>
        </w:numPr>
        <w:tabs>
          <w:tab w:val="left" w:pos="900"/>
        </w:tabs>
        <w:adjustRightInd w:val="0"/>
        <w:snapToGrid w:val="0"/>
        <w:spacing w:line="360" w:lineRule="auto"/>
        <w:ind w:left="0" w:firstLine="36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不符合资格条件的其他情形。</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2．符合性审查，如发现下列情形之一的，评标委员会将</w:t>
      </w:r>
      <w:r>
        <w:rPr>
          <w:rFonts w:hint="eastAsia" w:ascii="宋体" w:hAnsi="宋体" w:eastAsia="宋体" w:cs="宋体"/>
          <w:snapToGrid w:val="0"/>
          <w:color w:val="000000" w:themeColor="text1"/>
          <w:kern w:val="0"/>
          <w:szCs w:val="21"/>
          <w:lang w:val="en-US" w:eastAsia="zh-CN"/>
          <w14:textFill>
            <w14:solidFill>
              <w14:schemeClr w14:val="tx1"/>
            </w14:solidFill>
          </w14:textFill>
        </w:rPr>
        <w:t>有权</w:t>
      </w:r>
      <w:r>
        <w:rPr>
          <w:rFonts w:hint="eastAsia" w:ascii="宋体" w:hAnsi="宋体" w:eastAsia="宋体" w:cs="宋体"/>
          <w:snapToGrid w:val="0"/>
          <w:color w:val="000000" w:themeColor="text1"/>
          <w:kern w:val="0"/>
          <w:szCs w:val="21"/>
          <w14:textFill>
            <w14:solidFill>
              <w14:schemeClr w14:val="tx1"/>
            </w14:solidFill>
          </w14:textFill>
        </w:rPr>
        <w:t>否决其投标：</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投标联合体没有提交共同投标协议；（如有）</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同一投标人提交两个以上不同的投标文件或者投标报价，但招标文件要求提交备选投标的除外；</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投标报价低于成本或者高于招标文件设定的最高投标限价；</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投标人有串通投标、弄虚作假、行贿等违法行为；</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授权委托人与投标文件中授权委托书所载内容有异的；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投标文件组成漏项或未按规定的格式编制或投标文件正、副本份数不足的；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投标文件内容弄虚作假的；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未按招标文件中明确的要求签署、盖章的；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投标文件的实质性内容未使用中文表述、意思表述不明确、前后矛盾或者使用计量单位不符合招标文件要求的（经评标委员会认定允许其当场更正的笔误或符合澄清要求的除外）；</w:t>
      </w:r>
    </w:p>
    <w:p>
      <w:pPr>
        <w:numPr>
          <w:ilvl w:val="0"/>
          <w:numId w:val="34"/>
        </w:numPr>
        <w:tabs>
          <w:tab w:val="left" w:pos="900"/>
          <w:tab w:val="left" w:pos="937"/>
          <w:tab w:val="left" w:pos="1080"/>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投标文件不响应招标文件标注“</w:t>
      </w:r>
      <w:r>
        <w:rPr>
          <w:rFonts w:hint="eastAsia" w:ascii="宋体" w:hAnsi="宋体" w:eastAsia="宋体" w:cs="宋体"/>
          <w:b/>
          <w:color w:val="000000" w:themeColor="text1"/>
          <w:szCs w:val="21"/>
          <w14:textFill>
            <w14:solidFill>
              <w14:schemeClr w14:val="tx1"/>
            </w14:solidFill>
          </w14:textFill>
        </w:rPr>
        <w:t>▲</w:t>
      </w:r>
      <w:r>
        <w:rPr>
          <w:rFonts w:hint="eastAsia" w:ascii="宋体" w:hAnsi="宋体" w:eastAsia="宋体" w:cs="宋体"/>
          <w:b/>
          <w:bCs/>
          <w:color w:val="000000" w:themeColor="text1"/>
          <w:szCs w:val="21"/>
          <w14:textFill>
            <w14:solidFill>
              <w14:schemeClr w14:val="tx1"/>
            </w14:solidFill>
          </w14:textFill>
        </w:rPr>
        <w:t>”条款要求的；</w:t>
      </w:r>
    </w:p>
    <w:p>
      <w:pPr>
        <w:numPr>
          <w:ilvl w:val="0"/>
          <w:numId w:val="34"/>
        </w:numPr>
        <w:tabs>
          <w:tab w:val="left" w:pos="900"/>
          <w:tab w:val="left" w:pos="937"/>
          <w:tab w:val="left" w:pos="1080"/>
        </w:tabs>
        <w:adjustRightInd w:val="0"/>
        <w:snapToGrid w:val="0"/>
        <w:spacing w:line="360" w:lineRule="auto"/>
        <w:jc w:val="both"/>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 xml:space="preserve">投标文件的关键内容字迹模糊、无法辨认的,或者投标文件中经修正的内容字迹模糊难以辩认或者修改处未按规定签名盖章的； </w:t>
      </w:r>
    </w:p>
    <w:p>
      <w:pPr>
        <w:numPr>
          <w:ilvl w:val="0"/>
          <w:numId w:val="34"/>
        </w:numPr>
        <w:tabs>
          <w:tab w:val="left" w:pos="900"/>
          <w:tab w:val="left" w:pos="937"/>
          <w:tab w:val="left" w:pos="1080"/>
        </w:tabs>
        <w:adjustRightInd w:val="0"/>
        <w:snapToGrid w:val="0"/>
        <w:spacing w:line="360" w:lineRule="auto"/>
        <w:jc w:val="both"/>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投标有效期、交货期或工期、服务期等商务条款不能满足招标文件要求的；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bookmarkStart w:id="207" w:name="_Toc367274981"/>
      <w:r>
        <w:rPr>
          <w:rFonts w:hint="eastAsia" w:ascii="宋体" w:hAnsi="宋体" w:eastAsia="宋体" w:cs="宋体"/>
          <w:b/>
          <w:snapToGrid w:val="0"/>
          <w:color w:val="000000" w:themeColor="text1"/>
          <w:kern w:val="0"/>
          <w:szCs w:val="21"/>
          <w14:textFill>
            <w14:solidFill>
              <w14:schemeClr w14:val="tx1"/>
            </w14:solidFill>
          </w14:textFill>
        </w:rPr>
        <w:t>投标人改变标的种类或数量的</w:t>
      </w:r>
      <w:r>
        <w:rPr>
          <w:rFonts w:hint="eastAsia" w:ascii="宋体" w:hAnsi="宋体" w:eastAsia="宋体" w:cs="宋体"/>
          <w:b/>
          <w:bCs/>
          <w:color w:val="000000" w:themeColor="text1"/>
          <w:szCs w:val="21"/>
          <w14:textFill>
            <w14:solidFill>
              <w14:schemeClr w14:val="tx1"/>
            </w14:solidFill>
          </w14:textFill>
        </w:rPr>
        <w:t>；</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法律、法规规定及招标文件规定的其它无效或拒绝情况的。</w:t>
      </w:r>
    </w:p>
    <w:p>
      <w:pPr>
        <w:pStyle w:val="3"/>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208" w:name="_Toc28279"/>
      <w:bookmarkStart w:id="209" w:name="_Toc28451"/>
      <w:bookmarkStart w:id="210" w:name="_Toc19151"/>
      <w:bookmarkStart w:id="211" w:name="_Toc14162"/>
      <w:bookmarkStart w:id="212" w:name="_Toc9935"/>
      <w:bookmarkStart w:id="213" w:name="_Toc12916"/>
      <w:bookmarkStart w:id="214" w:name="_Toc7481"/>
      <w:bookmarkStart w:id="215" w:name="_Toc29872"/>
      <w:r>
        <w:rPr>
          <w:rFonts w:hint="eastAsia" w:ascii="宋体" w:hAnsi="宋体" w:cs="宋体"/>
        </w:rPr>
        <w:t>五、开标与评标</w:t>
      </w:r>
      <w:bookmarkEnd w:id="205"/>
      <w:bookmarkEnd w:id="206"/>
      <w:bookmarkEnd w:id="207"/>
      <w:bookmarkEnd w:id="208"/>
      <w:bookmarkEnd w:id="209"/>
      <w:bookmarkEnd w:id="210"/>
      <w:bookmarkEnd w:id="211"/>
      <w:bookmarkEnd w:id="212"/>
      <w:bookmarkEnd w:id="213"/>
      <w:bookmarkEnd w:id="214"/>
      <w:bookmarkEnd w:id="215"/>
    </w:p>
    <w:p>
      <w:pPr>
        <w:numPr>
          <w:ilvl w:val="0"/>
          <w:numId w:val="3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开标（不见面开标）-详见招标公告</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招标人将于</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snapToGrid w:val="0"/>
          <w:color w:val="000000" w:themeColor="text1"/>
          <w:kern w:val="0"/>
          <w:szCs w:val="21"/>
          <w14:textFill>
            <w14:solidFill>
              <w14:schemeClr w14:val="tx1"/>
            </w14:solidFill>
          </w14:textFill>
        </w:rPr>
        <w:t>规定的时间和地点开标。若招标人按规定，通过修改招标文件更改了开标时间和地点的，以后者为准。</w:t>
      </w:r>
    </w:p>
    <w:p>
      <w:pPr>
        <w:adjustRightInd w:val="0"/>
        <w:snapToGrid w:val="0"/>
        <w:spacing w:line="360" w:lineRule="auto"/>
        <w:ind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如《开标一览表》内容与《投标函》内容不一致的，一律以《开标一览表》为准。</w:t>
      </w:r>
    </w:p>
    <w:p>
      <w:pPr>
        <w:numPr>
          <w:ilvl w:val="0"/>
          <w:numId w:val="3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评标组织</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评标工作由招标单位负责组织，依法组建由奇数的人员组成的评标委员会，负责对投标文件进行审查、质询、评审等。评标委员会由招标人组建。</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评标纪律</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本次评标工作将在严格保密的情况下进行，评标委员会成员名单在定标前将保密。</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评标办法</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采用综合评分法，详见招标文件第五</w:t>
      </w:r>
      <w:r>
        <w:rPr>
          <w:rFonts w:hint="eastAsia" w:ascii="宋体" w:hAnsi="宋体" w:eastAsia="宋体" w:cs="宋体"/>
          <w:snapToGrid w:val="0"/>
          <w:color w:val="000000" w:themeColor="text1"/>
          <w:kern w:val="0"/>
          <w:szCs w:val="21"/>
          <w:lang w:val="en-US" w:eastAsia="zh-CN"/>
          <w14:textFill>
            <w14:solidFill>
              <w14:schemeClr w14:val="tx1"/>
            </w14:solidFill>
          </w14:textFill>
        </w:rPr>
        <w:t>章</w:t>
      </w:r>
      <w:r>
        <w:rPr>
          <w:rFonts w:hint="eastAsia" w:ascii="宋体" w:hAnsi="宋体" w:eastAsia="宋体" w:cs="宋体"/>
          <w:snapToGrid w:val="0"/>
          <w:color w:val="000000" w:themeColor="text1"/>
          <w:kern w:val="0"/>
          <w:szCs w:val="21"/>
          <w14:textFill>
            <w14:solidFill>
              <w14:schemeClr w14:val="tx1"/>
            </w14:solidFill>
          </w14:textFill>
        </w:rPr>
        <w:t>“评标办法”。</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评标程序</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投标文件初审。初审分为资格性检查和符合性检查。</w:t>
      </w:r>
    </w:p>
    <w:p>
      <w:pPr>
        <w:numPr>
          <w:ilvl w:val="0"/>
          <w:numId w:val="3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资格性检查。依据法律法规和招标文件的规定，对投标文件中的资格证明、投标保证金等进行审查，以确定投标投标人是否具备投标资格。</w:t>
      </w:r>
    </w:p>
    <w:p>
      <w:pPr>
        <w:numPr>
          <w:ilvl w:val="0"/>
          <w:numId w:val="3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符合性检查。依据招标文件的规定，从投标文件的有效性、完整性和对招标文件的响应程度进行审查，以确定是否对招标文件的实质性要求作出响应。</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澄清有关问题。对投标文件中含义不明确、同类问题表述不一致或者有明显文字和计算错误的内容，评标委员会可以书面形式（应当由评标委员会签字）要求投标人作出必要的澄清、说明或者纠正。投标人的澄清、说明或者补正应当采用书面形式，由其授权的代表签字，并不得超出投标文件的范围或者改变投标文件的实质性内容。</w:t>
      </w:r>
    </w:p>
    <w:p>
      <w:pPr>
        <w:adjustRightInd w:val="0"/>
        <w:snapToGrid w:val="0"/>
        <w:spacing w:line="360" w:lineRule="auto"/>
        <w:ind w:firstLine="422" w:firstLineChars="200"/>
        <w:jc w:val="both"/>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授权代表对澄清、说明或者补正内容未签字确认的，将自行承担由此可能导致的对其不利的评审结果，评标委员会按少数服从多数原则对相关内容进行评判。</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比较与评价。按招标文件中规定的评标方法和标准，对资格性检查和符合性检查合格的投标文件进行商务和技术评估，综合比较与评价。</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推荐中标候选投标人名单。</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val="0"/>
          <w:bCs w:val="0"/>
          <w:snapToGrid w:val="0"/>
          <w:color w:val="000000" w:themeColor="text1"/>
          <w:kern w:val="0"/>
          <w:szCs w:val="21"/>
          <w14:textFill>
            <w14:solidFill>
              <w14:schemeClr w14:val="tx1"/>
            </w14:solidFill>
          </w14:textFill>
        </w:rPr>
      </w:pPr>
      <w:r>
        <w:rPr>
          <w:rFonts w:hint="eastAsia" w:ascii="宋体" w:hAnsi="宋体" w:eastAsia="宋体" w:cs="宋体"/>
          <w:b w:val="0"/>
          <w:bCs w:val="0"/>
          <w:snapToGrid w:val="0"/>
          <w:color w:val="000000" w:themeColor="text1"/>
          <w:kern w:val="0"/>
          <w:szCs w:val="21"/>
          <w14:textFill>
            <w14:solidFill>
              <w14:schemeClr w14:val="tx1"/>
            </w14:solidFill>
          </w14:textFill>
        </w:rPr>
        <w:t>编写评标报告。</w:t>
      </w:r>
    </w:p>
    <w:p>
      <w:pPr>
        <w:numPr>
          <w:ilvl w:val="0"/>
          <w:numId w:val="35"/>
        </w:numPr>
        <w:adjustRightInd w:val="0"/>
        <w:snapToGrid w:val="0"/>
        <w:spacing w:line="360" w:lineRule="auto"/>
        <w:ind w:left="0" w:leftChars="0" w:firstLine="422" w:firstLineChars="200"/>
        <w:jc w:val="both"/>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重新招标和不再招标</w:t>
      </w:r>
    </w:p>
    <w:p>
      <w:pPr>
        <w:numPr>
          <w:ilvl w:val="0"/>
          <w:numId w:val="3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bookmarkStart w:id="216" w:name="_Toc251566655"/>
      <w:bookmarkStart w:id="217" w:name="_Toc240450082"/>
      <w:r>
        <w:rPr>
          <w:rFonts w:hint="eastAsia" w:ascii="宋体" w:hAnsi="宋体" w:eastAsia="宋体" w:cs="宋体"/>
          <w:b/>
          <w:snapToGrid w:val="0"/>
          <w:color w:val="000000" w:themeColor="text1"/>
          <w:kern w:val="0"/>
          <w:szCs w:val="21"/>
          <w14:textFill>
            <w14:solidFill>
              <w14:schemeClr w14:val="tx1"/>
            </w14:solidFill>
          </w14:textFill>
        </w:rPr>
        <w:t>有下列情形之一的，招标人将</w:t>
      </w:r>
      <w:r>
        <w:rPr>
          <w:rFonts w:hint="eastAsia" w:ascii="宋体" w:hAnsi="宋体" w:eastAsia="宋体" w:cs="宋体"/>
          <w:b/>
          <w:snapToGrid w:val="0"/>
          <w:color w:val="000000" w:themeColor="text1"/>
          <w:kern w:val="0"/>
          <w:szCs w:val="21"/>
          <w:lang w:val="en-US" w:eastAsia="zh-CN"/>
          <w14:textFill>
            <w14:solidFill>
              <w14:schemeClr w14:val="tx1"/>
            </w14:solidFill>
          </w14:textFill>
        </w:rPr>
        <w:t>延期开标或</w:t>
      </w:r>
      <w:r>
        <w:rPr>
          <w:rFonts w:hint="eastAsia" w:ascii="宋体" w:hAnsi="宋体" w:eastAsia="宋体" w:cs="宋体"/>
          <w:b/>
          <w:snapToGrid w:val="0"/>
          <w:color w:val="000000" w:themeColor="text1"/>
          <w:kern w:val="0"/>
          <w:szCs w:val="21"/>
          <w14:textFill>
            <w14:solidFill>
              <w14:schemeClr w14:val="tx1"/>
            </w14:solidFill>
          </w14:textFill>
        </w:rPr>
        <w:t>重新</w:t>
      </w:r>
      <w:r>
        <w:rPr>
          <w:rFonts w:hint="eastAsia" w:ascii="宋体" w:hAnsi="宋体" w:eastAsia="宋体" w:cs="宋体"/>
          <w:b/>
          <w:snapToGrid w:val="0"/>
          <w:color w:val="000000" w:themeColor="text1"/>
          <w:kern w:val="0"/>
          <w:szCs w:val="21"/>
          <w:lang w:val="en-US" w:eastAsia="zh-CN"/>
          <w14:textFill>
            <w14:solidFill>
              <w14:schemeClr w14:val="tx1"/>
            </w14:solidFill>
          </w14:textFill>
        </w:rPr>
        <w:t>组织</w:t>
      </w:r>
      <w:r>
        <w:rPr>
          <w:rFonts w:hint="eastAsia" w:ascii="宋体" w:hAnsi="宋体" w:eastAsia="宋体" w:cs="宋体"/>
          <w:b/>
          <w:snapToGrid w:val="0"/>
          <w:color w:val="000000" w:themeColor="text1"/>
          <w:kern w:val="0"/>
          <w:szCs w:val="21"/>
          <w14:textFill>
            <w14:solidFill>
              <w14:schemeClr w14:val="tx1"/>
            </w14:solidFill>
          </w14:textFill>
        </w:rPr>
        <w:t>招标</w:t>
      </w:r>
      <w:r>
        <w:rPr>
          <w:rFonts w:hint="eastAsia" w:ascii="宋体" w:hAnsi="宋体" w:eastAsia="宋体" w:cs="宋体"/>
          <w:snapToGrid w:val="0"/>
          <w:color w:val="000000" w:themeColor="text1"/>
          <w:kern w:val="0"/>
          <w:szCs w:val="21"/>
          <w14:textFill>
            <w14:solidFill>
              <w14:schemeClr w14:val="tx1"/>
            </w14:solidFill>
          </w14:textFill>
        </w:rPr>
        <w:t>：</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（1）投标截止时间止，投标人少于3个的；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（2）通过资格性、符合性审查的投标人数量不足的；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（3）经评标委员会评审后否决所有投标的；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（4）招标投标过程中，因项目发生变更，现有招标资格条件和项目不符的；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（5）出现影响招标公正的违法、违规行为的； </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（6）中标候选人放弃中标、因不可抗力不履行合同、不按招标文件要求提交履约担保，或者被查实存在影响中标结果的违法行为等情形不符合中标条件的；    </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（7）法律法规规定的其他情形。</w:t>
      </w:r>
    </w:p>
    <w:p>
      <w:pPr>
        <w:numPr>
          <w:ilvl w:val="0"/>
          <w:numId w:val="39"/>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不再招标：</w:t>
      </w:r>
      <w:r>
        <w:rPr>
          <w:rFonts w:hint="eastAsia" w:ascii="宋体" w:hAnsi="宋体" w:eastAsia="宋体" w:cs="宋体"/>
          <w:snapToGrid w:val="0"/>
          <w:color w:val="000000" w:themeColor="text1"/>
          <w:kern w:val="0"/>
          <w:szCs w:val="21"/>
          <w14:textFill>
            <w14:solidFill>
              <w14:schemeClr w14:val="tx1"/>
            </w14:solidFill>
          </w14:textFill>
        </w:rPr>
        <w:t>重新招标后投标人仍少于3个的，报经有关招标投标监管部门同意后可以不招标。</w:t>
      </w:r>
    </w:p>
    <w:p>
      <w:pPr>
        <w:pStyle w:val="3"/>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218" w:name="_Toc294777236"/>
      <w:bookmarkStart w:id="219" w:name="_Toc367274982"/>
      <w:bookmarkStart w:id="220" w:name="_Toc13696"/>
      <w:bookmarkStart w:id="221" w:name="_Toc6712"/>
      <w:bookmarkStart w:id="222" w:name="_Toc3166"/>
      <w:bookmarkStart w:id="223" w:name="_Toc20443"/>
      <w:bookmarkStart w:id="224" w:name="_Toc18821"/>
      <w:bookmarkStart w:id="225" w:name="_Toc2482"/>
      <w:bookmarkStart w:id="226" w:name="_Toc20124"/>
      <w:bookmarkStart w:id="227" w:name="_Toc9392"/>
      <w:r>
        <w:rPr>
          <w:rFonts w:hint="eastAsia" w:ascii="宋体" w:hAnsi="宋体" w:cs="宋体"/>
        </w:rPr>
        <w:t>六、确定中标人及授予合同</w:t>
      </w:r>
      <w:bookmarkEnd w:id="216"/>
      <w:bookmarkEnd w:id="217"/>
      <w:bookmarkEnd w:id="218"/>
      <w:bookmarkEnd w:id="219"/>
      <w:bookmarkEnd w:id="220"/>
      <w:bookmarkEnd w:id="221"/>
      <w:bookmarkEnd w:id="222"/>
      <w:bookmarkEnd w:id="223"/>
      <w:bookmarkEnd w:id="224"/>
      <w:bookmarkEnd w:id="225"/>
      <w:bookmarkEnd w:id="226"/>
      <w:bookmarkEnd w:id="227"/>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中标人的确定</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招标人应当自</w:t>
      </w:r>
      <w:r>
        <w:rPr>
          <w:rFonts w:hint="eastAsia" w:ascii="宋体" w:hAnsi="宋体" w:eastAsia="宋体" w:cs="宋体"/>
          <w:snapToGrid w:val="0"/>
          <w:color w:val="000000" w:themeColor="text1"/>
          <w:kern w:val="0"/>
          <w:szCs w:val="21"/>
          <w:lang w:val="en-US" w:eastAsia="zh-CN"/>
          <w14:textFill>
            <w14:solidFill>
              <w14:schemeClr w14:val="tx1"/>
            </w14:solidFill>
          </w14:textFill>
        </w:rPr>
        <w:t>召开招投标会议三十个工作日</w:t>
      </w:r>
      <w:r>
        <w:rPr>
          <w:rFonts w:hint="eastAsia" w:ascii="宋体" w:hAnsi="宋体" w:eastAsia="宋体" w:cs="宋体"/>
          <w:snapToGrid w:val="0"/>
          <w:color w:val="000000" w:themeColor="text1"/>
          <w:kern w:val="0"/>
          <w:szCs w:val="21"/>
          <w14:textFill>
            <w14:solidFill>
              <w14:schemeClr w14:val="tx1"/>
            </w14:solidFill>
          </w14:textFill>
        </w:rPr>
        <w:t>按顺序确定中标或者成交投标人。</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招标人应当自中标、成交投标人确定之日起</w:t>
      </w:r>
      <w:r>
        <w:rPr>
          <w:rFonts w:hint="eastAsia" w:ascii="宋体" w:hAnsi="宋体" w:eastAsia="宋体" w:cs="宋体"/>
          <w:snapToGrid w:val="0"/>
          <w:color w:val="000000" w:themeColor="text1"/>
          <w:kern w:val="0"/>
          <w:szCs w:val="21"/>
          <w:lang w:val="en-US" w:eastAsia="zh-CN"/>
          <w14:textFill>
            <w14:solidFill>
              <w14:schemeClr w14:val="tx1"/>
            </w14:solidFill>
          </w14:textFill>
        </w:rPr>
        <w:t>15</w:t>
      </w:r>
      <w:r>
        <w:rPr>
          <w:rFonts w:hint="eastAsia" w:ascii="宋体" w:hAnsi="宋体" w:eastAsia="宋体" w:cs="宋体"/>
          <w:snapToGrid w:val="0"/>
          <w:color w:val="000000" w:themeColor="text1"/>
          <w:kern w:val="0"/>
          <w:szCs w:val="21"/>
          <w14:textFill>
            <w14:solidFill>
              <w14:schemeClr w14:val="tx1"/>
            </w14:solidFill>
          </w14:textFill>
        </w:rPr>
        <w:t>个工作日内，在发布</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snapToGrid w:val="0"/>
          <w:color w:val="000000" w:themeColor="text1"/>
          <w:kern w:val="0"/>
          <w:szCs w:val="21"/>
          <w14:textFill>
            <w14:solidFill>
              <w14:schemeClr w14:val="tx1"/>
            </w14:solidFill>
          </w14:textFill>
        </w:rPr>
        <w:t>的同一网站</w:t>
      </w:r>
      <w:r>
        <w:rPr>
          <w:rFonts w:hint="eastAsia" w:ascii="宋体" w:hAnsi="宋体" w:eastAsia="宋体" w:cs="宋体"/>
          <w:snapToGrid w:val="0"/>
          <w:color w:val="000000" w:themeColor="text1"/>
          <w:kern w:val="0"/>
          <w:szCs w:val="21"/>
          <w:lang w:val="en-US" w:eastAsia="zh-CN"/>
          <w14:textFill>
            <w14:solidFill>
              <w14:schemeClr w14:val="tx1"/>
            </w14:solidFill>
          </w14:textFill>
        </w:rPr>
        <w:t>发布</w:t>
      </w:r>
      <w:r>
        <w:rPr>
          <w:rFonts w:hint="eastAsia" w:ascii="宋体" w:hAnsi="宋体" w:eastAsia="宋体" w:cs="宋体"/>
          <w:snapToGrid w:val="0"/>
          <w:color w:val="000000" w:themeColor="text1"/>
          <w:kern w:val="0"/>
          <w:szCs w:val="21"/>
          <w14:textFill>
            <w14:solidFill>
              <w14:schemeClr w14:val="tx1"/>
            </w14:solidFill>
          </w14:textFill>
        </w:rPr>
        <w:t>中标</w:t>
      </w:r>
      <w:r>
        <w:rPr>
          <w:rFonts w:hint="eastAsia" w:ascii="宋体" w:hAnsi="宋体" w:eastAsia="宋体" w:cs="宋体"/>
          <w:snapToGrid w:val="0"/>
          <w:color w:val="000000" w:themeColor="text1"/>
          <w:kern w:val="0"/>
          <w:szCs w:val="21"/>
          <w:lang w:val="en-US" w:eastAsia="zh-CN"/>
          <w14:textFill>
            <w14:solidFill>
              <w14:schemeClr w14:val="tx1"/>
            </w14:solidFill>
          </w14:textFill>
        </w:rPr>
        <w:t>公示</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公示期满5个工作日内</w:t>
      </w:r>
      <w:r>
        <w:rPr>
          <w:rFonts w:hint="eastAsia" w:ascii="宋体" w:hAnsi="宋体" w:eastAsia="宋体" w:cs="宋体"/>
          <w:snapToGrid w:val="0"/>
          <w:color w:val="000000" w:themeColor="text1"/>
          <w:kern w:val="0"/>
          <w:szCs w:val="21"/>
          <w14:textFill>
            <w14:solidFill>
              <w14:schemeClr w14:val="tx1"/>
            </w14:solidFill>
          </w14:textFill>
        </w:rPr>
        <w:t>发出中标通知书。</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除法律法规规定的情形外，招标人不得以任何理由组织重新评审。</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发出中标通知书前，预中标人有违反有关法律法规和本项目要求行为的，则取消其预中标资格，不再退还其投标保证金，并根据评标委员会推荐的中标候选人先后顺序，将下一顺序单位作为预中标公示单位，或由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组织评标委员会复议后提出重新组织招标等建议。</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投标人全部接受合同条件并签订合同后，中标通知书亦成为合同的组成部分。</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如中标人拒绝承担中标的项目，或提出招标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不能接受的条件，致使合同无法签订，招标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将取消其中标资格，不再退还其投标保证金，并根据评标委员会推荐的中标候选人先后顺序，将下一顺序单位作为预中标公示单位，或由招标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组织评标委员会复议后提出重新组织招标等建议。</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在中标人签订合同并生效后，中标人即为投标人，招标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及时将未中标的结果通知其他投标人。</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合同授予</w:t>
      </w:r>
    </w:p>
    <w:p>
      <w:pPr>
        <w:numPr>
          <w:ilvl w:val="0"/>
          <w:numId w:val="4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本项目的合同将授予</w:t>
      </w:r>
      <w:r>
        <w:rPr>
          <w:rFonts w:hint="eastAsia" w:ascii="宋体" w:hAnsi="宋体" w:eastAsia="宋体" w:cs="宋体"/>
          <w:snapToGrid w:val="0"/>
          <w:color w:val="000000" w:themeColor="text1"/>
          <w:kern w:val="0"/>
          <w:szCs w:val="21"/>
          <w:lang w:val="en-US" w:eastAsia="zh-CN"/>
          <w14:textFill>
            <w14:solidFill>
              <w14:schemeClr w14:val="tx1"/>
            </w14:solidFill>
          </w14:textFill>
        </w:rPr>
        <w:t>本招标</w:t>
      </w:r>
      <w:r>
        <w:rPr>
          <w:rFonts w:hint="eastAsia" w:ascii="宋体" w:hAnsi="宋体" w:eastAsia="宋体" w:cs="宋体"/>
          <w:snapToGrid w:val="0"/>
          <w:color w:val="000000" w:themeColor="text1"/>
          <w:kern w:val="0"/>
          <w:szCs w:val="21"/>
          <w14:textFill>
            <w14:solidFill>
              <w14:schemeClr w14:val="tx1"/>
            </w14:solidFill>
          </w14:textFill>
        </w:rPr>
        <w:t>所确定的中标人。</w:t>
      </w:r>
    </w:p>
    <w:p>
      <w:pPr>
        <w:numPr>
          <w:ilvl w:val="0"/>
          <w:numId w:val="4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中标人因不可抗力或者自身原因不能履行合同的，招标人可以与排位在中标人之后的第一位的中标候选人签订合同，以此类推。推荐中标候选人均放弃中标的，依法重新组织招标或经批准按其他方式执行。</w:t>
      </w:r>
    </w:p>
    <w:p>
      <w:pPr>
        <w:numPr>
          <w:ilvl w:val="0"/>
          <w:numId w:val="4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招标人在授予合同时有权对招标服务的数量和范围予以增加或减少。</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签订合同</w:t>
      </w:r>
    </w:p>
    <w:p>
      <w:pPr>
        <w:numPr>
          <w:ilvl w:val="0"/>
          <w:numId w:val="43"/>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中标人应按中标通知书规定的时间与招标人签订合同，并提交履约保证金。中标人在领取中标通知书时须向招标人提供一份关于本项目在实施过程中的相关人员的通讯录作为合同附件。</w:t>
      </w:r>
    </w:p>
    <w:p>
      <w:pPr>
        <w:numPr>
          <w:ilvl w:val="0"/>
          <w:numId w:val="43"/>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如不遵守招标文件或投标文件各项条款的邀约与要约，或在接到中标通知书后借故拖延，拒签合同的，招标人将依据国家和招标文件有关规定没收其投标保证金。给招标人造成的损失超过投标保证金数额的还应当对超过部分予以赔偿，招标人可根据</w:t>
      </w:r>
      <w:r>
        <w:rPr>
          <w:rFonts w:hint="eastAsia" w:ascii="宋体" w:hAnsi="宋体" w:eastAsia="宋体" w:cs="宋体"/>
          <w:snapToGrid w:val="0"/>
          <w:color w:val="000000" w:themeColor="text1"/>
          <w:kern w:val="0"/>
          <w:szCs w:val="21"/>
          <w:lang w:val="en-US" w:eastAsia="zh-CN"/>
          <w14:textFill>
            <w14:solidFill>
              <w14:schemeClr w14:val="tx1"/>
            </w14:solidFill>
          </w14:textFill>
        </w:rPr>
        <w:t>合同授予</w:t>
      </w:r>
      <w:r>
        <w:rPr>
          <w:rFonts w:hint="eastAsia" w:ascii="宋体" w:hAnsi="宋体" w:eastAsia="宋体" w:cs="宋体"/>
          <w:snapToGrid w:val="0"/>
          <w:color w:val="000000" w:themeColor="text1"/>
          <w:kern w:val="0"/>
          <w:szCs w:val="21"/>
          <w14:textFill>
            <w14:solidFill>
              <w14:schemeClr w14:val="tx1"/>
            </w14:solidFill>
          </w14:textFill>
        </w:rPr>
        <w:t>原则另行选择中标人；发出中标通知书后，如招标人违约拒签合同的，应退还中标人的投标保证金，并以与投标保证金的相等数额支付给中标人招标违约金。但执行国家政策或不可抗力原因不在此列。</w:t>
      </w:r>
    </w:p>
    <w:p>
      <w:pPr>
        <w:numPr>
          <w:ilvl w:val="0"/>
          <w:numId w:val="43"/>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招标文件、中标人的投标文件及投标修改文件、评标过程中有关澄清文件及经投标人法定代表人或授权代表签字确认的询标回复和承诺及中标通知书均作为合同组成部分。</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履约保证</w:t>
      </w:r>
    </w:p>
    <w:p>
      <w:pPr>
        <w:numPr>
          <w:ilvl w:val="0"/>
          <w:numId w:val="4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bookmarkStart w:id="228" w:name="_Hlk44249901"/>
      <w:r>
        <w:rPr>
          <w:rFonts w:hint="eastAsia" w:ascii="宋体" w:hAnsi="宋体" w:eastAsia="宋体" w:cs="宋体"/>
          <w:snapToGrid w:val="0"/>
          <w:color w:val="000000" w:themeColor="text1"/>
          <w:kern w:val="0"/>
          <w:szCs w:val="21"/>
          <w14:textFill>
            <w14:solidFill>
              <w14:schemeClr w14:val="tx1"/>
            </w14:solidFill>
          </w14:textFill>
        </w:rPr>
        <w:t>中标人在合同签订之日起7天内，须向招标人支付招标人前附表中数量的履约保证金。履约保证金以转账支票或电汇或银行汇票（最终由招标人确定）形式支付。</w:t>
      </w:r>
    </w:p>
    <w:bookmarkEnd w:id="228"/>
    <w:p>
      <w:pPr>
        <w:numPr>
          <w:ilvl w:val="0"/>
          <w:numId w:val="4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如果中标人没有</w:t>
      </w:r>
      <w:r>
        <w:rPr>
          <w:rFonts w:hint="eastAsia" w:ascii="宋体" w:hAnsi="宋体" w:eastAsia="宋体" w:cs="宋体"/>
          <w:snapToGrid w:val="0"/>
          <w:color w:val="000000" w:themeColor="text1"/>
          <w:kern w:val="0"/>
          <w:szCs w:val="21"/>
          <w:lang w:val="en-US" w:eastAsia="zh-CN"/>
          <w14:textFill>
            <w14:solidFill>
              <w14:schemeClr w14:val="tx1"/>
            </w14:solidFill>
          </w14:textFill>
        </w:rPr>
        <w:t>按照签订合同与履约保证</w:t>
      </w:r>
      <w:r>
        <w:rPr>
          <w:rFonts w:hint="eastAsia" w:ascii="宋体" w:hAnsi="宋体" w:eastAsia="宋体" w:cs="宋体"/>
          <w:snapToGrid w:val="0"/>
          <w:color w:val="000000" w:themeColor="text1"/>
          <w:kern w:val="0"/>
          <w:szCs w:val="21"/>
          <w14:textFill>
            <w14:solidFill>
              <w14:schemeClr w14:val="tx1"/>
            </w14:solidFill>
          </w14:textFill>
        </w:rPr>
        <w:t>规定执行，招标人将有充分理由取消该中标决定，并没收其投标保证金。在此情况下，招标人可将合同标授予下一个中标候选人。</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异议与投诉</w:t>
      </w:r>
    </w:p>
    <w:p>
      <w:pPr>
        <w:numPr>
          <w:ilvl w:val="0"/>
          <w:numId w:val="4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投标人询问</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投标人对招标活动事项有疑问的，可以向招标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提出询问，招标人应当在</w:t>
      </w: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Cs w:val="21"/>
          <w14:textFill>
            <w14:solidFill>
              <w14:schemeClr w14:val="tx1"/>
            </w14:solidFill>
          </w14:textFill>
        </w:rPr>
        <w:t>个工作日内对投标人依法提出的询问作出答复，但答复的内容不得涉及商业秘密。</w:t>
      </w:r>
    </w:p>
    <w:p>
      <w:pPr>
        <w:numPr>
          <w:ilvl w:val="0"/>
          <w:numId w:val="4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投标人异议</w:t>
      </w:r>
    </w:p>
    <w:p>
      <w:pPr>
        <w:widowControl/>
        <w:numPr>
          <w:ilvl w:val="0"/>
          <w:numId w:val="46"/>
        </w:numPr>
        <w:adjustRightInd w:val="0"/>
        <w:snapToGrid w:val="0"/>
        <w:spacing w:line="360" w:lineRule="auto"/>
        <w:ind w:left="845" w:leftChars="0" w:hanging="425" w:firstLineChars="0"/>
        <w:jc w:val="both"/>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w:t>
      </w:r>
      <w:r>
        <w:rPr>
          <w:rFonts w:hint="eastAsia" w:ascii="宋体" w:hAnsi="宋体" w:eastAsia="宋体" w:cs="宋体"/>
          <w:color w:val="000000" w:themeColor="text1"/>
          <w:szCs w:val="21"/>
          <w14:textFill>
            <w14:solidFill>
              <w14:schemeClr w14:val="tx1"/>
            </w14:solidFill>
          </w14:textFill>
        </w:rPr>
        <w:t>对招标文件有异议的，应当在投标截止时间</w:t>
      </w:r>
      <w:r>
        <w:rPr>
          <w:rFonts w:hint="eastAsia" w:ascii="宋体" w:hAnsi="宋体" w:eastAsia="宋体" w:cs="宋体"/>
          <w:color w:val="000000" w:themeColor="text1"/>
          <w:szCs w:val="21"/>
          <w:lang w:val="en-US" w:eastAsia="zh-CN"/>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日前向招标人提出；</w:t>
      </w:r>
      <w:r>
        <w:rPr>
          <w:rFonts w:hint="eastAsia" w:ascii="宋体" w:hAnsi="宋体" w:eastAsia="宋体" w:cs="宋体"/>
          <w:color w:val="000000" w:themeColor="text1"/>
          <w:kern w:val="0"/>
          <w:szCs w:val="21"/>
          <w14:textFill>
            <w14:solidFill>
              <w14:schemeClr w14:val="tx1"/>
            </w14:solidFill>
          </w14:textFill>
        </w:rPr>
        <w:t>投标人对评标结果有异议的，应当在中标候选人公示期间</w:t>
      </w:r>
      <w:r>
        <w:rPr>
          <w:rFonts w:hint="eastAsia" w:ascii="宋体" w:hAnsi="宋体" w:eastAsia="宋体" w:cs="宋体"/>
          <w:color w:val="000000" w:themeColor="text1"/>
          <w:szCs w:val="21"/>
          <w14:textFill>
            <w14:solidFill>
              <w14:schemeClr w14:val="tx1"/>
            </w14:solidFill>
          </w14:textFill>
        </w:rPr>
        <w:t>向招标人提出</w:t>
      </w:r>
      <w:r>
        <w:rPr>
          <w:rFonts w:hint="eastAsia" w:ascii="宋体" w:hAnsi="宋体" w:eastAsia="宋体" w:cs="宋体"/>
          <w:color w:val="000000" w:themeColor="text1"/>
          <w:kern w:val="0"/>
          <w:szCs w:val="21"/>
          <w14:textFill>
            <w14:solidFill>
              <w14:schemeClr w14:val="tx1"/>
            </w14:solidFill>
          </w14:textFill>
        </w:rPr>
        <w:t>；</w:t>
      </w:r>
    </w:p>
    <w:p>
      <w:pPr>
        <w:numPr>
          <w:ilvl w:val="0"/>
          <w:numId w:val="46"/>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投标人提交的异议书需一式三份，由法定代表人签字（或盖章）并加盖单位公章。异议书至少应包括下列主要内容：</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异议人的名称、地址及有效联系方式；</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被异议人的名称、地址及有效联系方式；</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异议事项的基本事实；</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相关请求及主张；</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有效线索和相关证明材料。</w:t>
      </w:r>
    </w:p>
    <w:p>
      <w:pPr>
        <w:numPr>
          <w:ilvl w:val="0"/>
          <w:numId w:val="46"/>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招标人应当在收到投标人的书面异议后三个工作日内作出答复。</w:t>
      </w:r>
    </w:p>
    <w:p>
      <w:pPr>
        <w:numPr>
          <w:ilvl w:val="0"/>
          <w:numId w:val="4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投标人投诉</w:t>
      </w:r>
    </w:p>
    <w:p>
      <w:pPr>
        <w:numPr>
          <w:ilvl w:val="0"/>
          <w:numId w:val="48"/>
        </w:numPr>
        <w:adjustRightInd w:val="0"/>
        <w:snapToGrid w:val="0"/>
        <w:spacing w:line="360" w:lineRule="auto"/>
        <w:ind w:left="845" w:leftChars="0" w:hanging="425" w:firstLineChars="0"/>
        <w:jc w:val="both"/>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投标人对招标人的异议答复不满意在规定时间（3个工作日）内作出答复的，可以在答复期满后</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日内向招标人</w:t>
      </w:r>
      <w:r>
        <w:rPr>
          <w:rFonts w:hint="eastAsia" w:ascii="宋体" w:hAnsi="宋体" w:eastAsia="宋体" w:cs="宋体"/>
          <w:color w:val="000000" w:themeColor="text1"/>
          <w:kern w:val="0"/>
          <w:szCs w:val="21"/>
          <w:lang w:val="en-US" w:eastAsia="zh-CN"/>
          <w14:textFill>
            <w14:solidFill>
              <w14:schemeClr w14:val="tx1"/>
            </w14:solidFill>
          </w14:textFill>
        </w:rPr>
        <w:t>纪律检查室</w:t>
      </w:r>
      <w:r>
        <w:rPr>
          <w:rFonts w:hint="eastAsia" w:ascii="宋体" w:hAnsi="宋体" w:eastAsia="宋体" w:cs="宋体"/>
          <w:color w:val="000000" w:themeColor="text1"/>
          <w:kern w:val="0"/>
          <w:szCs w:val="21"/>
          <w14:textFill>
            <w14:solidFill>
              <w14:schemeClr w14:val="tx1"/>
            </w14:solidFill>
          </w14:textFill>
        </w:rPr>
        <w:t>提出投诉。</w:t>
      </w:r>
    </w:p>
    <w:p>
      <w:pPr>
        <w:numPr>
          <w:ilvl w:val="0"/>
          <w:numId w:val="48"/>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投标人提交的</w:t>
      </w:r>
      <w:r>
        <w:rPr>
          <w:rFonts w:hint="eastAsia" w:ascii="宋体" w:hAnsi="宋体" w:eastAsia="宋体" w:cs="宋体"/>
          <w:color w:val="000000" w:themeColor="text1"/>
          <w:kern w:val="0"/>
          <w:szCs w:val="21"/>
          <w14:textFill>
            <w14:solidFill>
              <w14:schemeClr w14:val="tx1"/>
            </w14:solidFill>
          </w14:textFill>
        </w:rPr>
        <w:t>投诉</w:t>
      </w:r>
      <w:r>
        <w:rPr>
          <w:rFonts w:hint="eastAsia" w:ascii="宋体" w:hAnsi="宋体" w:eastAsia="宋体" w:cs="宋体"/>
          <w:snapToGrid w:val="0"/>
          <w:color w:val="000000" w:themeColor="text1"/>
          <w:kern w:val="0"/>
          <w:szCs w:val="21"/>
          <w14:textFill>
            <w14:solidFill>
              <w14:schemeClr w14:val="tx1"/>
            </w14:solidFill>
          </w14:textFill>
        </w:rPr>
        <w:t>书需一式三份，由法定代表人签字（或盖章）并加盖单位公章。</w:t>
      </w:r>
      <w:r>
        <w:rPr>
          <w:rFonts w:hint="eastAsia" w:ascii="宋体" w:hAnsi="宋体" w:eastAsia="宋体" w:cs="宋体"/>
          <w:color w:val="000000" w:themeColor="text1"/>
          <w:kern w:val="0"/>
          <w:szCs w:val="21"/>
          <w14:textFill>
            <w14:solidFill>
              <w14:schemeClr w14:val="tx1"/>
            </w14:solidFill>
          </w14:textFill>
        </w:rPr>
        <w:t>投诉</w:t>
      </w:r>
      <w:r>
        <w:rPr>
          <w:rFonts w:hint="eastAsia" w:ascii="宋体" w:hAnsi="宋体" w:eastAsia="宋体" w:cs="宋体"/>
          <w:snapToGrid w:val="0"/>
          <w:color w:val="000000" w:themeColor="text1"/>
          <w:kern w:val="0"/>
          <w:szCs w:val="21"/>
          <w14:textFill>
            <w14:solidFill>
              <w14:schemeClr w14:val="tx1"/>
            </w14:solidFill>
          </w14:textFill>
        </w:rPr>
        <w:t>书至少应包括下列主要内容：</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投诉人的名称、地址及有效联系方式；</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被投诉人的名称、地址及有效联系方式；</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投诉事项的基本事实；</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相关请求及主张；</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有效线索和相关证明材料。</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招标结束</w:t>
      </w:r>
    </w:p>
    <w:p>
      <w:pPr>
        <w:adjustRightInd w:val="0"/>
        <w:snapToGrid w:val="0"/>
        <w:spacing w:line="360" w:lineRule="auto"/>
        <w:ind w:firstLine="420" w:firstLineChars="20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中标人与招标人签订合同生效后即为招标结束。本项目的投标文件不予退回。</w:t>
      </w:r>
      <w:bookmarkEnd w:id="155"/>
      <w:bookmarkEnd w:id="156"/>
      <w:bookmarkEnd w:id="157"/>
      <w:bookmarkEnd w:id="158"/>
    </w:p>
    <w:p>
      <w:pPr>
        <w:adjustRightInd w:val="0"/>
        <w:snapToGrid w:val="0"/>
        <w:spacing w:beforeLines="50" w:afterLines="50" w:line="360" w:lineRule="auto"/>
        <w:jc w:val="center"/>
        <w:outlineLvl w:val="0"/>
        <w:rPr>
          <w:rStyle w:val="57"/>
          <w:rFonts w:hint="eastAsia"/>
        </w:rPr>
      </w:pPr>
      <w:r>
        <w:rPr>
          <w:color w:val="000000" w:themeColor="text1"/>
          <w:sz w:val="24"/>
          <w14:textFill>
            <w14:solidFill>
              <w14:schemeClr w14:val="tx1"/>
            </w14:solidFill>
          </w14:textFill>
        </w:rPr>
        <w:br w:type="page"/>
      </w:r>
      <w:bookmarkStart w:id="229" w:name="_Toc17876"/>
      <w:bookmarkStart w:id="230" w:name="_Toc31161"/>
      <w:bookmarkStart w:id="231" w:name="_Toc30340"/>
      <w:bookmarkStart w:id="232" w:name="_Toc25322"/>
      <w:bookmarkStart w:id="233" w:name="_Toc107822520"/>
      <w:bookmarkStart w:id="234" w:name="_Toc226969316"/>
      <w:bookmarkStart w:id="235" w:name="_Toc14255"/>
      <w:bookmarkStart w:id="236" w:name="_Toc21535"/>
      <w:bookmarkStart w:id="237" w:name="_Toc28587"/>
      <w:bookmarkStart w:id="238" w:name="_Toc227057922"/>
      <w:bookmarkStart w:id="239" w:name="_Toc269"/>
      <w:r>
        <w:rPr>
          <w:rStyle w:val="57"/>
          <w:rFonts w:hint="eastAsia"/>
        </w:rPr>
        <w:t>第三章</w:t>
      </w:r>
      <w:r>
        <w:rPr>
          <w:rStyle w:val="57"/>
          <w:rFonts w:hint="eastAsia"/>
          <w:lang w:val="en-US"/>
        </w:rPr>
        <w:t xml:space="preserve"> </w:t>
      </w:r>
      <w:r>
        <w:rPr>
          <w:rStyle w:val="57"/>
          <w:rFonts w:hint="eastAsia"/>
        </w:rPr>
        <w:t>采购合同的一般和特殊条款</w:t>
      </w:r>
      <w:bookmarkEnd w:id="229"/>
      <w:bookmarkEnd w:id="230"/>
      <w:bookmarkEnd w:id="231"/>
      <w:bookmarkEnd w:id="232"/>
      <w:bookmarkEnd w:id="233"/>
      <w:bookmarkEnd w:id="234"/>
      <w:bookmarkEnd w:id="235"/>
      <w:bookmarkEnd w:id="236"/>
      <w:bookmarkEnd w:id="237"/>
      <w:bookmarkEnd w:id="238"/>
      <w:bookmarkEnd w:id="239"/>
      <w:bookmarkStart w:id="240" w:name="_bookmark1"/>
      <w:bookmarkEnd w:id="240"/>
      <w:bookmarkStart w:id="241" w:name="_bookmark0"/>
      <w:bookmarkEnd w:id="241"/>
      <w:bookmarkStart w:id="242" w:name="_Toc226969353"/>
      <w:bookmarkStart w:id="243" w:name="_Toc107822570"/>
      <w:bookmarkStart w:id="244" w:name="_Toc227057959"/>
    </w:p>
    <w:p>
      <w:pPr>
        <w:jc w:val="center"/>
        <w:rPr>
          <w:rFonts w:hint="eastAsia"/>
          <w:b/>
          <w:bCs/>
          <w:sz w:val="36"/>
        </w:rPr>
      </w:pPr>
    </w:p>
    <w:p>
      <w:pPr>
        <w:jc w:val="center"/>
        <w:rPr>
          <w:rFonts w:hint="eastAsia"/>
          <w:b/>
          <w:bCs/>
          <w:sz w:val="36"/>
        </w:rPr>
      </w:pPr>
    </w:p>
    <w:p>
      <w:pPr>
        <w:jc w:val="center"/>
        <w:rPr>
          <w:rFonts w:hint="eastAsia"/>
          <w:b/>
          <w:bCs/>
          <w:sz w:val="44"/>
          <w:szCs w:val="44"/>
        </w:rPr>
      </w:pPr>
      <w:r>
        <w:rPr>
          <w:rFonts w:hint="eastAsia"/>
          <w:b/>
          <w:bCs/>
          <w:sz w:val="44"/>
          <w:szCs w:val="44"/>
        </w:rPr>
        <w:t>设备承揽合同</w:t>
      </w:r>
    </w:p>
    <w:p>
      <w:pPr>
        <w:jc w:val="left"/>
        <w:rPr>
          <w:rFonts w:hint="eastAsia"/>
          <w:b/>
          <w:bCs/>
          <w:sz w:val="24"/>
        </w:rPr>
      </w:pPr>
    </w:p>
    <w:p>
      <w:pPr>
        <w:jc w:val="left"/>
        <w:rPr>
          <w:rFonts w:hint="eastAsia"/>
          <w:b/>
          <w:bCs/>
          <w:sz w:val="24"/>
        </w:rPr>
      </w:pPr>
    </w:p>
    <w:p>
      <w:pPr>
        <w:jc w:val="left"/>
        <w:rPr>
          <w:rFonts w:hint="eastAsia"/>
          <w:b/>
          <w:bCs/>
          <w:sz w:val="24"/>
        </w:rPr>
      </w:pPr>
    </w:p>
    <w:p>
      <w:pPr>
        <w:jc w:val="left"/>
        <w:rPr>
          <w:rFonts w:hint="eastAsia"/>
          <w:b/>
          <w:bCs/>
          <w:sz w:val="24"/>
        </w:rPr>
      </w:pPr>
    </w:p>
    <w:p>
      <w:pPr>
        <w:jc w:val="left"/>
        <w:rPr>
          <w:rFonts w:hint="eastAsia"/>
          <w:b/>
          <w:bCs/>
          <w:sz w:val="24"/>
        </w:rPr>
      </w:pPr>
    </w:p>
    <w:p>
      <w:pPr>
        <w:jc w:val="left"/>
        <w:rPr>
          <w:rFonts w:hint="eastAsia"/>
          <w:sz w:val="28"/>
          <w:u w:val="single"/>
        </w:rPr>
      </w:pPr>
      <w:r>
        <w:rPr>
          <w:rFonts w:hint="eastAsia"/>
          <w:sz w:val="28"/>
        </w:rPr>
        <w:t xml:space="preserve">                </w:t>
      </w:r>
    </w:p>
    <w:p>
      <w:pPr>
        <w:jc w:val="left"/>
        <w:rPr>
          <w:rFonts w:hint="eastAsia"/>
          <w:sz w:val="28"/>
        </w:rPr>
      </w:pPr>
      <w:r>
        <w:rPr>
          <w:rFonts w:hint="eastAsia"/>
          <w:sz w:val="28"/>
        </w:rPr>
        <w:t xml:space="preserve">        </w:t>
      </w:r>
    </w:p>
    <w:p>
      <w:pPr>
        <w:rPr>
          <w:rFonts w:hint="eastAsia"/>
          <w:sz w:val="28"/>
          <w:u w:val="none"/>
          <w:lang w:val="en-US" w:eastAsia="zh-CN"/>
        </w:rPr>
      </w:pPr>
      <w:r>
        <w:rPr>
          <w:rFonts w:hint="eastAsia"/>
          <w:sz w:val="28"/>
        </w:rPr>
        <w:t xml:space="preserve">                设备名称：</w:t>
      </w:r>
      <w:r>
        <w:rPr>
          <w:rFonts w:hint="eastAsia"/>
          <w:sz w:val="28"/>
          <w:u w:val="single"/>
          <w:lang w:val="en-US" w:eastAsia="zh-CN"/>
        </w:rPr>
        <w:t xml:space="preserve">                          </w:t>
      </w:r>
    </w:p>
    <w:p>
      <w:pPr>
        <w:rPr>
          <w:rFonts w:hint="default"/>
          <w:sz w:val="28"/>
          <w:u w:val="none"/>
          <w:lang w:val="en-US" w:eastAsia="zh-CN"/>
        </w:rPr>
      </w:pPr>
    </w:p>
    <w:p>
      <w:pPr>
        <w:rPr>
          <w:rFonts w:hint="eastAsia"/>
          <w:sz w:val="28"/>
        </w:rPr>
      </w:pPr>
      <w:r>
        <w:rPr>
          <w:rFonts w:hint="eastAsia"/>
          <w:sz w:val="28"/>
        </w:rPr>
        <w:t xml:space="preserve">                需    方：</w:t>
      </w:r>
      <w:r>
        <w:rPr>
          <w:rFonts w:hint="eastAsia"/>
          <w:sz w:val="28"/>
          <w:lang w:eastAsia="zh-CN"/>
        </w:rPr>
        <w:t>广东亿利达风机有限公司</w:t>
      </w:r>
      <w:r>
        <w:rPr>
          <w:rFonts w:hint="eastAsia"/>
          <w:sz w:val="28"/>
        </w:rPr>
        <w:t xml:space="preserve"> </w:t>
      </w:r>
    </w:p>
    <w:p>
      <w:pPr>
        <w:jc w:val="center"/>
        <w:rPr>
          <w:rFonts w:hint="eastAsia"/>
          <w:sz w:val="28"/>
        </w:rPr>
      </w:pPr>
    </w:p>
    <w:p>
      <w:pPr>
        <w:rPr>
          <w:rFonts w:hint="eastAsia"/>
          <w:sz w:val="28"/>
          <w:u w:val="none"/>
          <w:lang w:val="en-US" w:eastAsia="zh-CN"/>
        </w:rPr>
      </w:pPr>
      <w:r>
        <w:rPr>
          <w:rFonts w:hint="eastAsia"/>
          <w:sz w:val="28"/>
        </w:rPr>
        <w:t xml:space="preserve">                供    方:</w:t>
      </w:r>
      <w:r>
        <w:rPr>
          <w:rFonts w:hint="eastAsia" w:ascii="宋体" w:hAnsi="宋体" w:cs="宋体"/>
          <w:sz w:val="28"/>
        </w:rPr>
        <w:t xml:space="preserve"> </w:t>
      </w:r>
      <w:r>
        <w:rPr>
          <w:rFonts w:hint="eastAsia"/>
          <w:sz w:val="28"/>
          <w:u w:val="single"/>
          <w:lang w:val="en-US" w:eastAsia="zh-CN"/>
        </w:rPr>
        <w:t xml:space="preserve">                           </w:t>
      </w:r>
    </w:p>
    <w:p>
      <w:pPr>
        <w:rPr>
          <w:rFonts w:hint="default"/>
          <w:sz w:val="28"/>
          <w:u w:val="none"/>
          <w:lang w:val="en-US" w:eastAsia="zh-CN"/>
        </w:rPr>
      </w:pPr>
    </w:p>
    <w:p>
      <w:pPr>
        <w:ind w:firstLine="2240" w:firstLineChars="800"/>
        <w:rPr>
          <w:rFonts w:hint="default" w:eastAsia="宋体"/>
          <w:sz w:val="28"/>
          <w:u w:val="single"/>
          <w:lang w:val="en-US" w:eastAsia="zh-CN"/>
        </w:rPr>
      </w:pPr>
      <w:r>
        <w:rPr>
          <w:rFonts w:hint="eastAsia"/>
          <w:sz w:val="28"/>
        </w:rPr>
        <w:t>合同编号：</w:t>
      </w:r>
      <w:r>
        <w:rPr>
          <w:rFonts w:hint="eastAsia"/>
          <w:sz w:val="28"/>
          <w:u w:val="single"/>
        </w:rPr>
        <w:t xml:space="preserve">                      </w:t>
      </w:r>
      <w:r>
        <w:rPr>
          <w:rFonts w:hint="eastAsia"/>
          <w:sz w:val="28"/>
          <w:u w:val="single"/>
          <w:lang w:val="en-US" w:eastAsia="zh-CN"/>
        </w:rPr>
        <w:t xml:space="preserve">    </w:t>
      </w:r>
    </w:p>
    <w:p>
      <w:pPr>
        <w:jc w:val="center"/>
        <w:rPr>
          <w:rFonts w:hint="eastAsia"/>
          <w:sz w:val="28"/>
        </w:rPr>
      </w:pPr>
    </w:p>
    <w:p>
      <w:pPr>
        <w:rPr>
          <w:rFonts w:hint="default" w:eastAsia="宋体"/>
          <w:sz w:val="28"/>
          <w:u w:val="single"/>
          <w:lang w:val="en-US" w:eastAsia="zh-CN"/>
        </w:rPr>
      </w:pPr>
      <w:r>
        <w:rPr>
          <w:rFonts w:hint="eastAsia"/>
          <w:sz w:val="28"/>
        </w:rPr>
        <w:t xml:space="preserve">                签订时间： </w:t>
      </w:r>
      <w:r>
        <w:rPr>
          <w:rFonts w:hint="eastAsia"/>
          <w:sz w:val="28"/>
          <w:u w:val="single"/>
        </w:rPr>
        <w:t xml:space="preserve">         </w:t>
      </w:r>
      <w:r>
        <w:rPr>
          <w:rFonts w:hint="eastAsia"/>
          <w:sz w:val="28"/>
          <w:u w:val="single"/>
          <w:lang w:val="en-US" w:eastAsia="zh-CN"/>
        </w:rPr>
        <w:t xml:space="preserve">                </w:t>
      </w:r>
    </w:p>
    <w:p>
      <w:pPr>
        <w:jc w:val="left"/>
        <w:rPr>
          <w:rFonts w:hint="eastAsia"/>
          <w:sz w:val="28"/>
          <w:u w:val="single"/>
        </w:rPr>
      </w:pPr>
    </w:p>
    <w:p>
      <w:pPr>
        <w:jc w:val="left"/>
        <w:rPr>
          <w:rFonts w:hint="eastAsia"/>
          <w:sz w:val="28"/>
          <w:u w:val="single"/>
        </w:rPr>
      </w:pPr>
    </w:p>
    <w:p>
      <w:pPr>
        <w:jc w:val="left"/>
        <w:rPr>
          <w:rFonts w:hint="eastAsia"/>
          <w:sz w:val="28"/>
          <w:u w:val="single"/>
        </w:rPr>
      </w:pPr>
    </w:p>
    <w:p>
      <w:pPr>
        <w:spacing w:line="360" w:lineRule="auto"/>
        <w:jc w:val="left"/>
        <w:rPr>
          <w:rFonts w:hint="eastAsia" w:ascii="宋体" w:hAnsi="宋体" w:eastAsia="宋体" w:cs="宋体"/>
          <w:spacing w:val="9"/>
          <w:kern w:val="4"/>
          <w:sz w:val="21"/>
          <w:szCs w:val="21"/>
        </w:rPr>
      </w:pPr>
      <w:r>
        <w:rPr>
          <w:sz w:val="28"/>
          <w:u w:val="single"/>
        </w:rPr>
        <w:br w:type="page"/>
      </w:r>
      <w:r>
        <w:rPr>
          <w:rFonts w:hint="eastAsia" w:ascii="宋体" w:hAnsi="宋体" w:eastAsia="宋体" w:cs="宋体"/>
          <w:spacing w:val="9"/>
          <w:kern w:val="4"/>
          <w:sz w:val="21"/>
          <w:szCs w:val="21"/>
        </w:rPr>
        <w:t>需方：</w:t>
      </w:r>
      <w:r>
        <w:rPr>
          <w:rFonts w:hint="eastAsia" w:ascii="宋体" w:hAnsi="宋体" w:eastAsia="宋体" w:cs="宋体"/>
          <w:spacing w:val="9"/>
          <w:kern w:val="4"/>
          <w:sz w:val="21"/>
          <w:szCs w:val="21"/>
          <w:u w:val="single"/>
        </w:rPr>
        <w:t xml:space="preserve"> </w:t>
      </w:r>
      <w:r>
        <w:rPr>
          <w:rFonts w:hint="eastAsia" w:ascii="宋体" w:hAnsi="宋体" w:eastAsia="宋体" w:cs="宋体"/>
          <w:spacing w:val="9"/>
          <w:kern w:val="4"/>
          <w:sz w:val="21"/>
          <w:szCs w:val="21"/>
          <w:u w:val="single"/>
          <w:lang w:val="en-US" w:eastAsia="zh-CN"/>
        </w:rPr>
        <w:t xml:space="preserve">广东亿利达风机有限公司         </w:t>
      </w:r>
      <w:r>
        <w:rPr>
          <w:rFonts w:hint="eastAsia" w:ascii="宋体" w:hAnsi="宋体" w:eastAsia="宋体" w:cs="宋体"/>
          <w:spacing w:val="9"/>
          <w:kern w:val="4"/>
          <w:sz w:val="21"/>
          <w:szCs w:val="21"/>
          <w:u w:val="single"/>
        </w:rPr>
        <w:t xml:space="preserve">   </w:t>
      </w:r>
      <w:r>
        <w:rPr>
          <w:rFonts w:hint="eastAsia" w:ascii="宋体" w:hAnsi="宋体" w:eastAsia="宋体" w:cs="宋体"/>
          <w:spacing w:val="9"/>
          <w:kern w:val="4"/>
          <w:sz w:val="21"/>
          <w:szCs w:val="21"/>
        </w:rPr>
        <w:t>（以下简称甲方）</w:t>
      </w:r>
    </w:p>
    <w:p>
      <w:pPr>
        <w:spacing w:line="360" w:lineRule="auto"/>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供方：</w:t>
      </w:r>
      <w:r>
        <w:rPr>
          <w:rFonts w:hint="eastAsia" w:ascii="宋体" w:hAnsi="宋体" w:eastAsia="宋体" w:cs="宋体"/>
          <w:spacing w:val="9"/>
          <w:kern w:val="4"/>
          <w:sz w:val="21"/>
          <w:szCs w:val="21"/>
          <w:u w:val="single"/>
        </w:rPr>
        <w:t xml:space="preserve">                            </w:t>
      </w:r>
      <w:r>
        <w:rPr>
          <w:rFonts w:hint="eastAsia" w:ascii="宋体" w:hAnsi="宋体" w:eastAsia="宋体" w:cs="宋体"/>
          <w:sz w:val="21"/>
          <w:szCs w:val="21"/>
          <w:u w:val="single"/>
        </w:rPr>
        <w:t xml:space="preserve">       </w:t>
      </w:r>
      <w:r>
        <w:rPr>
          <w:rFonts w:hint="eastAsia" w:ascii="宋体" w:hAnsi="宋体" w:eastAsia="宋体" w:cs="宋体"/>
          <w:spacing w:val="9"/>
          <w:kern w:val="4"/>
          <w:sz w:val="21"/>
          <w:szCs w:val="21"/>
        </w:rPr>
        <w:t>（以下简称乙方）</w:t>
      </w:r>
    </w:p>
    <w:p>
      <w:pPr>
        <w:spacing w:line="360" w:lineRule="auto"/>
        <w:ind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根据《中华人民共和国民法典》及相关法律法规的规定，甲乙方本着自愿公平、诚实信用的原则，经友好协商，达成如下协议，以供双方恪守。</w:t>
      </w:r>
    </w:p>
    <w:p>
      <w:pPr>
        <w:spacing w:line="360" w:lineRule="auto"/>
        <w:ind w:firstLine="458" w:firstLineChars="200"/>
        <w:jc w:val="both"/>
        <w:rPr>
          <w:rFonts w:hint="eastAsia" w:ascii="宋体" w:hAnsi="宋体" w:eastAsia="宋体" w:cs="宋体"/>
          <w:b/>
          <w:spacing w:val="9"/>
          <w:kern w:val="10"/>
          <w:sz w:val="21"/>
          <w:szCs w:val="21"/>
        </w:rPr>
      </w:pPr>
      <w:r>
        <w:rPr>
          <w:rFonts w:hint="eastAsia" w:ascii="宋体" w:hAnsi="宋体" w:eastAsia="宋体" w:cs="宋体"/>
          <w:b/>
          <w:spacing w:val="9"/>
          <w:kern w:val="10"/>
          <w:sz w:val="21"/>
          <w:szCs w:val="21"/>
        </w:rPr>
        <w:t>一、项目概况：</w:t>
      </w:r>
    </w:p>
    <w:p>
      <w:pPr>
        <w:spacing w:line="360" w:lineRule="auto"/>
        <w:ind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10"/>
          <w:sz w:val="21"/>
          <w:szCs w:val="21"/>
        </w:rPr>
        <w:t>本合同项目为乙方承担甲方</w:t>
      </w:r>
      <w:r>
        <w:rPr>
          <w:rFonts w:hint="eastAsia" w:ascii="宋体" w:hAnsi="宋体" w:eastAsia="宋体" w:cs="宋体"/>
          <w:spacing w:val="9"/>
          <w:kern w:val="10"/>
          <w:sz w:val="21"/>
          <w:szCs w:val="21"/>
          <w:u w:val="single"/>
        </w:rPr>
        <w:t xml:space="preserve">          </w:t>
      </w:r>
      <w:r>
        <w:rPr>
          <w:rFonts w:hint="eastAsia" w:ascii="宋体" w:hAnsi="宋体" w:eastAsia="宋体" w:cs="宋体"/>
          <w:spacing w:val="9"/>
          <w:kern w:val="10"/>
          <w:sz w:val="21"/>
          <w:szCs w:val="21"/>
        </w:rPr>
        <w:t>设备的设计、制造、运输及调试等工作，此设备为交钥匙工程。</w:t>
      </w:r>
    </w:p>
    <w:p>
      <w:pPr>
        <w:spacing w:line="360" w:lineRule="auto"/>
        <w:ind w:firstLine="456" w:firstLineChars="200"/>
        <w:jc w:val="both"/>
        <w:rPr>
          <w:rFonts w:hint="eastAsia" w:ascii="宋体" w:hAnsi="宋体" w:eastAsia="宋体" w:cs="宋体"/>
          <w:b/>
          <w:bCs/>
          <w:spacing w:val="9"/>
          <w:kern w:val="4"/>
          <w:sz w:val="21"/>
          <w:szCs w:val="21"/>
        </w:rPr>
      </w:pPr>
      <w:r>
        <w:rPr>
          <w:rFonts w:hint="eastAsia" w:ascii="宋体" w:hAnsi="宋体" w:eastAsia="宋体" w:cs="宋体"/>
          <w:spacing w:val="9"/>
          <w:kern w:val="4"/>
          <w:sz w:val="21"/>
          <w:szCs w:val="21"/>
        </w:rPr>
        <w:t>二、</w:t>
      </w:r>
      <w:r>
        <w:rPr>
          <w:rFonts w:hint="eastAsia" w:ascii="宋体" w:hAnsi="宋体" w:eastAsia="宋体" w:cs="宋体"/>
          <w:b/>
          <w:bCs/>
          <w:spacing w:val="9"/>
          <w:kern w:val="4"/>
          <w:sz w:val="21"/>
          <w:szCs w:val="21"/>
        </w:rPr>
        <w:t>项目总金额</w:t>
      </w:r>
    </w:p>
    <w:p>
      <w:pPr>
        <w:spacing w:line="360" w:lineRule="auto"/>
        <w:ind w:firstLine="456" w:firstLineChars="200"/>
        <w:jc w:val="both"/>
        <w:rPr>
          <w:rFonts w:hint="eastAsia" w:ascii="宋体" w:hAnsi="宋体" w:eastAsia="宋体" w:cs="宋体"/>
          <w:spacing w:val="9"/>
          <w:kern w:val="10"/>
          <w:sz w:val="21"/>
          <w:szCs w:val="21"/>
          <w:lang w:val="en-US" w:eastAsia="zh-CN"/>
        </w:rPr>
      </w:pPr>
      <w:r>
        <w:rPr>
          <w:rFonts w:hint="eastAsia" w:ascii="宋体" w:hAnsi="宋体" w:eastAsia="宋体" w:cs="宋体"/>
          <w:spacing w:val="9"/>
          <w:kern w:val="10"/>
          <w:sz w:val="21"/>
          <w:szCs w:val="21"/>
        </w:rPr>
        <w:t>项目总金额（含税价）为人民币</w:t>
      </w:r>
      <w:r>
        <w:rPr>
          <w:rFonts w:hint="eastAsia" w:ascii="宋体" w:hAnsi="宋体" w:eastAsia="宋体" w:cs="宋体"/>
          <w:spacing w:val="9"/>
          <w:kern w:val="10"/>
          <w:sz w:val="21"/>
          <w:szCs w:val="21"/>
          <w:u w:val="single"/>
        </w:rPr>
        <w:t xml:space="preserve">        </w:t>
      </w:r>
      <w:r>
        <w:rPr>
          <w:rFonts w:hint="eastAsia" w:ascii="宋体" w:hAnsi="宋体" w:eastAsia="宋体" w:cs="宋体"/>
          <w:spacing w:val="9"/>
          <w:kern w:val="10"/>
          <w:sz w:val="21"/>
          <w:szCs w:val="21"/>
        </w:rPr>
        <w:t>（￥</w:t>
      </w:r>
      <w:r>
        <w:rPr>
          <w:rFonts w:hint="eastAsia" w:ascii="宋体" w:hAnsi="宋体" w:eastAsia="宋体" w:cs="宋体"/>
          <w:spacing w:val="9"/>
          <w:kern w:val="10"/>
          <w:sz w:val="21"/>
          <w:szCs w:val="21"/>
          <w:u w:val="single"/>
        </w:rPr>
        <w:t xml:space="preserve">     </w:t>
      </w:r>
      <w:r>
        <w:rPr>
          <w:rFonts w:hint="eastAsia" w:ascii="宋体" w:hAnsi="宋体" w:eastAsia="宋体" w:cs="宋体"/>
          <w:spacing w:val="9"/>
          <w:kern w:val="10"/>
          <w:sz w:val="21"/>
          <w:szCs w:val="21"/>
        </w:rPr>
        <w:t>），包括设备设计、制造、包装、保险、运输及设备在甲方所在地的安装调试等一切费用。具体付款方式详见本合同第七条约定。</w:t>
      </w:r>
      <w:r>
        <w:rPr>
          <w:rFonts w:hint="eastAsia" w:ascii="宋体" w:hAnsi="宋体" w:eastAsia="宋体" w:cs="宋体"/>
          <w:spacing w:val="9"/>
          <w:kern w:val="10"/>
          <w:sz w:val="21"/>
          <w:szCs w:val="21"/>
          <w:lang w:val="en-US" w:eastAsia="zh-CN"/>
        </w:rPr>
        <w:t>除本合同另有明确约定外，乙方不得以任何理由要求甲方支付其他任何费用。</w:t>
      </w:r>
    </w:p>
    <w:p>
      <w:pPr>
        <w:spacing w:line="360" w:lineRule="auto"/>
        <w:ind w:firstLine="456" w:firstLineChars="200"/>
        <w:jc w:val="both"/>
        <w:rPr>
          <w:rFonts w:hint="eastAsia" w:ascii="宋体" w:hAnsi="宋体" w:eastAsia="宋体" w:cs="宋体"/>
          <w:spacing w:val="9"/>
          <w:kern w:val="10"/>
          <w:sz w:val="21"/>
          <w:szCs w:val="21"/>
          <w:lang w:val="en-US" w:eastAsia="zh-CN"/>
        </w:rPr>
      </w:pPr>
      <w:r>
        <w:rPr>
          <w:rFonts w:hint="eastAsia" w:ascii="宋体" w:hAnsi="宋体" w:eastAsia="宋体" w:cs="宋体"/>
          <w:spacing w:val="9"/>
          <w:kern w:val="10"/>
          <w:sz w:val="21"/>
          <w:szCs w:val="21"/>
          <w:lang w:val="en-US" w:eastAsia="zh-CN"/>
        </w:rPr>
        <w:t>上述金额含13%增值税，当国家法定增值税税率发生变更,甲乙双方约定以不含税价格不变作为基准,调整增值税税额。</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三、质量要求及保证条款</w:t>
      </w:r>
    </w:p>
    <w:p>
      <w:pPr>
        <w:numPr>
          <w:ilvl w:val="0"/>
          <w:numId w:val="50"/>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10"/>
          <w:sz w:val="21"/>
          <w:szCs w:val="21"/>
        </w:rPr>
        <w:t>乙方承揽的设备，应符合双方约定的技术协议的要求，详见附件《技术协议》。</w:t>
      </w:r>
    </w:p>
    <w:p>
      <w:pPr>
        <w:numPr>
          <w:ilvl w:val="0"/>
          <w:numId w:val="50"/>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双方应按照技术协议及产品图纸的要求供货及安装调试；如果双方未对质量要求和技术标准做出约定或者约定不明确的，应按照国家或行业有关标准执行；没有国家或行业标准的，</w:t>
      </w:r>
      <w:r>
        <w:rPr>
          <w:rFonts w:hint="eastAsia" w:ascii="宋体" w:hAnsi="宋体" w:eastAsia="宋体" w:cs="宋体"/>
          <w:spacing w:val="9"/>
          <w:sz w:val="21"/>
          <w:szCs w:val="21"/>
          <w:lang w:val="en-US" w:eastAsia="zh-CN"/>
        </w:rPr>
        <w:t>应依照</w:t>
      </w:r>
      <w:r>
        <w:rPr>
          <w:rFonts w:hint="eastAsia" w:ascii="宋体" w:hAnsi="宋体" w:eastAsia="宋体" w:cs="宋体"/>
          <w:spacing w:val="9"/>
          <w:sz w:val="21"/>
          <w:szCs w:val="21"/>
        </w:rPr>
        <w:t>本合同项下设备</w:t>
      </w:r>
      <w:r>
        <w:rPr>
          <w:rFonts w:hint="eastAsia" w:ascii="宋体" w:hAnsi="宋体" w:eastAsia="宋体" w:cs="宋体"/>
          <w:spacing w:val="9"/>
          <w:sz w:val="21"/>
          <w:szCs w:val="21"/>
          <w:lang w:val="en-US" w:eastAsia="zh-CN"/>
        </w:rPr>
        <w:t>使用的目的，产品</w:t>
      </w:r>
      <w:r>
        <w:rPr>
          <w:rFonts w:hint="eastAsia" w:ascii="宋体" w:hAnsi="宋体" w:eastAsia="宋体" w:cs="宋体"/>
          <w:spacing w:val="9"/>
          <w:sz w:val="21"/>
          <w:szCs w:val="21"/>
          <w:lang w:val="en-US"/>
        </w:rPr>
        <w:t>应</w:t>
      </w:r>
      <w:r>
        <w:rPr>
          <w:rFonts w:hint="eastAsia" w:ascii="宋体" w:hAnsi="宋体" w:eastAsia="宋体" w:cs="宋体"/>
          <w:spacing w:val="9"/>
          <w:sz w:val="21"/>
          <w:szCs w:val="21"/>
        </w:rPr>
        <w:t>确保甲方能正常使用。</w:t>
      </w:r>
    </w:p>
    <w:p>
      <w:pPr>
        <w:numPr>
          <w:ilvl w:val="0"/>
          <w:numId w:val="50"/>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乙方应按照合同约定的质量及技术标准选用原材料，原材料的选材应达到国家标准；技术协议所列产品主体要件，乙方应按照双方约定的品牌自行生产或购买。</w:t>
      </w:r>
      <w:r>
        <w:rPr>
          <w:rFonts w:hint="eastAsia" w:ascii="宋体" w:hAnsi="宋体" w:eastAsia="宋体" w:cs="宋体"/>
          <w:spacing w:val="9"/>
          <w:sz w:val="21"/>
          <w:szCs w:val="21"/>
          <w:lang w:val="en-US" w:eastAsia="zh-CN"/>
        </w:rPr>
        <w:t>对于非乙方所有知识产权的货物，乙方有义务提供给甲方正规渠道证明。</w:t>
      </w:r>
    </w:p>
    <w:p>
      <w:pPr>
        <w:numPr>
          <w:ilvl w:val="0"/>
          <w:numId w:val="50"/>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乙方对设计、制造、装配、安装、调试过程中出现的质量问题全部承担责任。</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四、运输方式及费用负担</w:t>
      </w:r>
    </w:p>
    <w:p>
      <w:pPr>
        <w:spacing w:line="360" w:lineRule="auto"/>
        <w:ind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乙方应确保设备安全及时运到甲方指定地安装调试，乙方应保证设备包装、运输等各方面的安全，乙方可自行决定运输方式，运输过程中的一切费用、风险由乙方承担。</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五、项目进度及交货地点</w:t>
      </w:r>
    </w:p>
    <w:p>
      <w:pPr>
        <w:numPr>
          <w:ilvl w:val="0"/>
          <w:numId w:val="51"/>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乙方保证本合同下的设备在</w:t>
      </w:r>
      <w:r>
        <w:rPr>
          <w:rFonts w:hint="eastAsia" w:ascii="宋体" w:hAnsi="宋体" w:eastAsia="宋体" w:cs="宋体"/>
          <w:spacing w:val="9"/>
          <w:sz w:val="21"/>
          <w:szCs w:val="21"/>
          <w:u w:val="single"/>
        </w:rPr>
        <w:t xml:space="preserve">     </w:t>
      </w:r>
      <w:r>
        <w:rPr>
          <w:rFonts w:hint="eastAsia" w:ascii="宋体" w:hAnsi="宋体" w:eastAsia="宋体" w:cs="宋体"/>
          <w:spacing w:val="9"/>
          <w:sz w:val="21"/>
          <w:szCs w:val="21"/>
        </w:rPr>
        <w:t>年</w:t>
      </w:r>
      <w:r>
        <w:rPr>
          <w:rFonts w:hint="eastAsia" w:ascii="宋体" w:hAnsi="宋体" w:eastAsia="宋体" w:cs="宋体"/>
          <w:spacing w:val="9"/>
          <w:sz w:val="21"/>
          <w:szCs w:val="21"/>
          <w:u w:val="single"/>
        </w:rPr>
        <w:t xml:space="preserve">   </w:t>
      </w:r>
      <w:r>
        <w:rPr>
          <w:rFonts w:hint="eastAsia" w:ascii="宋体" w:hAnsi="宋体" w:eastAsia="宋体" w:cs="宋体"/>
          <w:spacing w:val="9"/>
          <w:sz w:val="21"/>
          <w:szCs w:val="21"/>
        </w:rPr>
        <w:t>月</w:t>
      </w:r>
      <w:r>
        <w:rPr>
          <w:rFonts w:hint="eastAsia" w:ascii="宋体" w:hAnsi="宋体" w:eastAsia="宋体" w:cs="宋体"/>
          <w:spacing w:val="9"/>
          <w:sz w:val="21"/>
          <w:szCs w:val="21"/>
          <w:u w:val="single"/>
        </w:rPr>
        <w:t xml:space="preserve">   </w:t>
      </w:r>
      <w:r>
        <w:rPr>
          <w:rFonts w:hint="eastAsia" w:ascii="宋体" w:hAnsi="宋体" w:eastAsia="宋体" w:cs="宋体"/>
          <w:spacing w:val="9"/>
          <w:sz w:val="21"/>
          <w:szCs w:val="21"/>
        </w:rPr>
        <w:t>日前通知甲方对设备初验收，初验收合格后设备发送至甲方指定地点交货；</w:t>
      </w:r>
    </w:p>
    <w:p>
      <w:pPr>
        <w:numPr>
          <w:ilvl w:val="0"/>
          <w:numId w:val="51"/>
        </w:numPr>
        <w:spacing w:line="360" w:lineRule="auto"/>
        <w:ind w:left="0" w:leftChars="0" w:firstLine="456" w:firstLineChars="200"/>
        <w:jc w:val="both"/>
        <w:rPr>
          <w:rFonts w:hint="eastAsia" w:ascii="宋体" w:hAnsi="宋体" w:eastAsia="宋体" w:cs="宋体"/>
          <w:spacing w:val="9"/>
          <w:sz w:val="21"/>
          <w:szCs w:val="21"/>
          <w:highlight w:val="none"/>
        </w:rPr>
      </w:pPr>
      <w:r>
        <w:rPr>
          <w:rFonts w:hint="eastAsia" w:ascii="宋体" w:hAnsi="宋体" w:eastAsia="宋体" w:cs="宋体"/>
          <w:spacing w:val="9"/>
          <w:sz w:val="21"/>
          <w:szCs w:val="21"/>
        </w:rPr>
        <w:t>交货地</w:t>
      </w:r>
      <w:r>
        <w:rPr>
          <w:rFonts w:hint="eastAsia" w:ascii="宋体" w:hAnsi="宋体" w:eastAsia="宋体" w:cs="宋体"/>
          <w:spacing w:val="9"/>
          <w:sz w:val="21"/>
          <w:szCs w:val="21"/>
          <w:highlight w:val="none"/>
        </w:rPr>
        <w:t>点：</w:t>
      </w:r>
      <w:r>
        <w:rPr>
          <w:rFonts w:hint="eastAsia" w:ascii="宋体" w:hAnsi="宋体" w:eastAsia="宋体" w:cs="宋体"/>
          <w:spacing w:val="9"/>
          <w:sz w:val="21"/>
          <w:szCs w:val="21"/>
          <w:highlight w:val="none"/>
          <w:lang w:val="en-US" w:eastAsia="zh-CN"/>
        </w:rPr>
        <w:t>广东省清远市佛冈县龙山镇学田管理区广东亿利达风机有限公司</w:t>
      </w:r>
      <w:r>
        <w:rPr>
          <w:rFonts w:hint="eastAsia" w:ascii="宋体" w:hAnsi="宋体" w:eastAsia="宋体" w:cs="宋体"/>
          <w:spacing w:val="9"/>
          <w:sz w:val="21"/>
          <w:szCs w:val="21"/>
          <w:highlight w:val="none"/>
        </w:rPr>
        <w:t>。</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六、安装、验收标准及异议</w:t>
      </w:r>
    </w:p>
    <w:p>
      <w:pPr>
        <w:numPr>
          <w:ilvl w:val="0"/>
          <w:numId w:val="52"/>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乙方将设备运抵安装地后，甲方在经初步外观查看确认设备外观无破损等问题的情况下</w:t>
      </w:r>
      <w:r>
        <w:rPr>
          <w:rFonts w:hint="eastAsia" w:ascii="宋体" w:hAnsi="宋体" w:eastAsia="宋体" w:cs="宋体"/>
          <w:spacing w:val="9"/>
          <w:sz w:val="21"/>
          <w:szCs w:val="21"/>
          <w:lang w:eastAsia="zh-CN"/>
        </w:rPr>
        <w:t>，</w:t>
      </w:r>
      <w:r>
        <w:rPr>
          <w:rFonts w:hint="eastAsia" w:ascii="宋体" w:hAnsi="宋体" w:eastAsia="宋体" w:cs="宋体"/>
          <w:spacing w:val="9"/>
          <w:sz w:val="21"/>
          <w:szCs w:val="21"/>
          <w:lang w:val="en-US" w:eastAsia="zh-CN"/>
        </w:rPr>
        <w:t>乙方</w:t>
      </w:r>
      <w:r>
        <w:rPr>
          <w:rFonts w:hint="eastAsia" w:ascii="宋体" w:hAnsi="宋体" w:eastAsia="宋体" w:cs="宋体"/>
          <w:spacing w:val="9"/>
          <w:sz w:val="21"/>
          <w:szCs w:val="21"/>
        </w:rPr>
        <w:t>负责卸车。乙方负责本合同项下设备的安装和调试，安装期为设备送抵甲方指定地点后</w:t>
      </w:r>
      <w:r>
        <w:rPr>
          <w:rFonts w:hint="eastAsia" w:ascii="宋体" w:hAnsi="宋体" w:eastAsia="宋体" w:cs="宋体"/>
          <w:spacing w:val="9"/>
          <w:sz w:val="21"/>
          <w:szCs w:val="21"/>
          <w:lang w:val="en-US" w:eastAsia="zh-CN"/>
        </w:rPr>
        <w:t>10</w:t>
      </w:r>
      <w:r>
        <w:rPr>
          <w:rFonts w:hint="eastAsia" w:ascii="宋体" w:hAnsi="宋体" w:eastAsia="宋体" w:cs="宋体"/>
          <w:spacing w:val="9"/>
          <w:sz w:val="21"/>
          <w:szCs w:val="21"/>
        </w:rPr>
        <w:t>日，调试期为设备安装后</w:t>
      </w:r>
      <w:r>
        <w:rPr>
          <w:rFonts w:hint="eastAsia" w:ascii="宋体" w:hAnsi="宋体" w:eastAsia="宋体" w:cs="宋体"/>
          <w:spacing w:val="9"/>
          <w:sz w:val="21"/>
          <w:szCs w:val="21"/>
          <w:lang w:val="en-US" w:eastAsia="zh-CN"/>
        </w:rPr>
        <w:t>30</w:t>
      </w:r>
      <w:r>
        <w:rPr>
          <w:rFonts w:hint="eastAsia" w:ascii="宋体" w:hAnsi="宋体" w:eastAsia="宋体" w:cs="宋体"/>
          <w:spacing w:val="9"/>
          <w:sz w:val="21"/>
          <w:szCs w:val="21"/>
        </w:rPr>
        <w:t>日。</w:t>
      </w:r>
    </w:p>
    <w:p>
      <w:pPr>
        <w:numPr>
          <w:ilvl w:val="0"/>
          <w:numId w:val="52"/>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调试期满后，由乙方书面提出设备终验收申请，由甲方组织终验收。设备终验收后，甲、乙双方终验收后签署验收报告并载明验收意见</w:t>
      </w:r>
      <w:r>
        <w:rPr>
          <w:rFonts w:hint="eastAsia" w:ascii="宋体" w:hAnsi="宋体" w:eastAsia="宋体" w:cs="宋体"/>
          <w:spacing w:val="9"/>
          <w:sz w:val="21"/>
          <w:szCs w:val="21"/>
          <w:lang w:eastAsia="zh-CN"/>
        </w:rPr>
        <w:t>（</w:t>
      </w:r>
      <w:r>
        <w:rPr>
          <w:rFonts w:hint="eastAsia" w:ascii="宋体" w:hAnsi="宋体" w:eastAsia="宋体" w:cs="宋体"/>
          <w:spacing w:val="9"/>
          <w:sz w:val="21"/>
          <w:szCs w:val="21"/>
          <w:lang w:val="en-US" w:eastAsia="zh-CN"/>
        </w:rPr>
        <w:t>对甲方而言，验收合格报告需加盖公章后方生效</w:t>
      </w:r>
      <w:r>
        <w:rPr>
          <w:rFonts w:hint="eastAsia" w:ascii="宋体" w:hAnsi="宋体" w:eastAsia="宋体" w:cs="宋体"/>
          <w:spacing w:val="9"/>
          <w:sz w:val="21"/>
          <w:szCs w:val="21"/>
          <w:lang w:eastAsia="zh-CN"/>
        </w:rPr>
        <w:t>）</w:t>
      </w:r>
      <w:r>
        <w:rPr>
          <w:rFonts w:hint="eastAsia" w:ascii="宋体" w:hAnsi="宋体" w:eastAsia="宋体" w:cs="宋体"/>
          <w:spacing w:val="9"/>
          <w:sz w:val="21"/>
          <w:szCs w:val="21"/>
        </w:rPr>
        <w:t>。终验收不合格的，甲方有权要求退货。</w:t>
      </w:r>
    </w:p>
    <w:p>
      <w:pPr>
        <w:numPr>
          <w:ilvl w:val="0"/>
          <w:numId w:val="52"/>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设备终验收依据国家、行业有关标准、技术协议、甲方提供的图纸和双方签订的技术协议等，当上述标准不一致时，以最高技术要求为准；验收时双方对条款有不同理解的，由甲方授权代表负责解释，只要该解释未与国家标准及行业标准相冲突，则视为有效。</w:t>
      </w:r>
    </w:p>
    <w:p>
      <w:pPr>
        <w:numPr>
          <w:ilvl w:val="0"/>
          <w:numId w:val="52"/>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对设备质量发生争议时，双方同意聘请甲方所在地的质量检验部门进行检验，鉴定等相关费用由乙方先行垫付，事后根据检验结果确定由过错方承担。如乙方不承担相关鉴定等费用，即可认定乙方交付的设备存在质量问题。</w:t>
      </w:r>
    </w:p>
    <w:p>
      <w:pPr>
        <w:numPr>
          <w:ilvl w:val="0"/>
          <w:numId w:val="52"/>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乙方在甲方施工期间，安装和调试所需的各种设备、工具等由乙方自理；施工中所需的电、气（空压机生产的气）、水源、行车（工厂现有的）等工具甲方可以配合提供。</w:t>
      </w:r>
    </w:p>
    <w:p>
      <w:pPr>
        <w:numPr>
          <w:ilvl w:val="0"/>
          <w:numId w:val="52"/>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本合同项下设备终验收后应签署终验收报告，如存在遗留问题，经双方协商确认后乙方应限期解决。在遗留问题解决之前，乙方同意甲方可适当使用该设备，但甲方使用该设备不代表本合同设备终验收合格。</w:t>
      </w:r>
    </w:p>
    <w:p>
      <w:pPr>
        <w:spacing w:line="360" w:lineRule="auto"/>
        <w:ind w:firstLine="458" w:firstLineChars="200"/>
        <w:jc w:val="both"/>
        <w:rPr>
          <w:rFonts w:hint="eastAsia" w:ascii="宋体" w:hAnsi="宋体" w:eastAsia="宋体" w:cs="宋体"/>
          <w:b/>
          <w:bCs/>
          <w:spacing w:val="9"/>
          <w:kern w:val="10"/>
          <w:sz w:val="21"/>
          <w:szCs w:val="21"/>
        </w:rPr>
      </w:pPr>
      <w:r>
        <w:rPr>
          <w:rFonts w:hint="eastAsia" w:ascii="宋体" w:hAnsi="宋体" w:eastAsia="宋体" w:cs="宋体"/>
          <w:b/>
          <w:bCs/>
          <w:spacing w:val="9"/>
          <w:kern w:val="10"/>
          <w:sz w:val="21"/>
          <w:szCs w:val="21"/>
        </w:rPr>
        <w:t>七、项目的付款方式</w:t>
      </w:r>
    </w:p>
    <w:p>
      <w:pPr>
        <w:numPr>
          <w:ilvl w:val="0"/>
          <w:numId w:val="53"/>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10"/>
          <w:sz w:val="21"/>
          <w:szCs w:val="21"/>
        </w:rPr>
        <w:t>甲方仅就本合同总金额及支付方式对乙方负责。</w:t>
      </w:r>
    </w:p>
    <w:p>
      <w:pPr>
        <w:numPr>
          <w:ilvl w:val="0"/>
          <w:numId w:val="53"/>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本合同签</w:t>
      </w:r>
      <w:r>
        <w:rPr>
          <w:rFonts w:hint="eastAsia" w:ascii="宋体" w:hAnsi="宋体" w:eastAsia="宋体" w:cs="宋体"/>
          <w:spacing w:val="9"/>
          <w:kern w:val="4"/>
          <w:sz w:val="21"/>
          <w:szCs w:val="21"/>
          <w:lang w:val="en-US" w:eastAsia="zh-CN"/>
        </w:rPr>
        <w:t>订</w:t>
      </w:r>
      <w:r>
        <w:rPr>
          <w:rFonts w:hint="eastAsia" w:ascii="宋体" w:hAnsi="宋体" w:eastAsia="宋体" w:cs="宋体"/>
          <w:spacing w:val="9"/>
          <w:kern w:val="4"/>
          <w:sz w:val="21"/>
          <w:szCs w:val="21"/>
        </w:rPr>
        <w:t>后，甲方应在</w:t>
      </w:r>
      <w:r>
        <w:rPr>
          <w:rFonts w:hint="eastAsia" w:ascii="宋体" w:hAnsi="宋体" w:eastAsia="宋体" w:cs="宋体"/>
          <w:spacing w:val="9"/>
          <w:kern w:val="4"/>
          <w:sz w:val="21"/>
          <w:szCs w:val="21"/>
          <w:u w:val="single"/>
          <w:lang w:val="en-US" w:eastAsia="zh-CN"/>
        </w:rPr>
        <w:t>15个工作日</w:t>
      </w:r>
      <w:r>
        <w:rPr>
          <w:rFonts w:hint="eastAsia" w:ascii="宋体" w:hAnsi="宋体" w:eastAsia="宋体" w:cs="宋体"/>
          <w:spacing w:val="9"/>
          <w:kern w:val="4"/>
          <w:sz w:val="21"/>
          <w:szCs w:val="21"/>
        </w:rPr>
        <w:t>内向乙方支付合同总价30%（</w:t>
      </w:r>
      <w:r>
        <w:rPr>
          <w:rFonts w:hint="eastAsia" w:ascii="宋体" w:hAnsi="宋体" w:eastAsia="宋体" w:cs="宋体"/>
          <w:spacing w:val="9"/>
          <w:kern w:val="4"/>
          <w:sz w:val="21"/>
          <w:szCs w:val="21"/>
          <w:u w:val="single"/>
        </w:rPr>
        <w:t xml:space="preserve">    </w:t>
      </w:r>
      <w:r>
        <w:rPr>
          <w:rFonts w:hint="eastAsia" w:ascii="宋体" w:hAnsi="宋体" w:eastAsia="宋体" w:cs="宋体"/>
          <w:spacing w:val="9"/>
          <w:kern w:val="4"/>
          <w:sz w:val="21"/>
          <w:szCs w:val="21"/>
        </w:rPr>
        <w:t>万元）的首付款。</w:t>
      </w:r>
    </w:p>
    <w:p>
      <w:pPr>
        <w:numPr>
          <w:ilvl w:val="0"/>
          <w:numId w:val="53"/>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设备发运前经甲方初验收合格且甲乙双方在初验收报告上签字确认后，甲方应在发货前</w:t>
      </w:r>
      <w:r>
        <w:rPr>
          <w:rFonts w:hint="eastAsia" w:ascii="宋体" w:hAnsi="宋体" w:eastAsia="宋体" w:cs="宋体"/>
          <w:spacing w:val="9"/>
          <w:kern w:val="4"/>
          <w:sz w:val="21"/>
          <w:szCs w:val="21"/>
          <w:lang w:val="en-US" w:eastAsia="zh-CN"/>
        </w:rPr>
        <w:t>15个工作日</w:t>
      </w:r>
      <w:r>
        <w:rPr>
          <w:rFonts w:hint="eastAsia" w:ascii="宋体" w:hAnsi="宋体" w:eastAsia="宋体" w:cs="宋体"/>
          <w:spacing w:val="9"/>
          <w:kern w:val="4"/>
          <w:sz w:val="21"/>
          <w:szCs w:val="21"/>
        </w:rPr>
        <w:t>内向乙方支付合同总价30%（</w:t>
      </w:r>
      <w:r>
        <w:rPr>
          <w:rFonts w:hint="eastAsia" w:ascii="宋体" w:hAnsi="宋体" w:eastAsia="宋体" w:cs="宋体"/>
          <w:spacing w:val="9"/>
          <w:kern w:val="4"/>
          <w:sz w:val="21"/>
          <w:szCs w:val="21"/>
          <w:u w:val="single"/>
        </w:rPr>
        <w:t xml:space="preserve">    </w:t>
      </w:r>
      <w:r>
        <w:rPr>
          <w:rFonts w:hint="eastAsia" w:ascii="宋体" w:hAnsi="宋体" w:eastAsia="宋体" w:cs="宋体"/>
          <w:spacing w:val="9"/>
          <w:kern w:val="4"/>
          <w:sz w:val="21"/>
          <w:szCs w:val="21"/>
        </w:rPr>
        <w:t>万元）的进度款。</w:t>
      </w:r>
    </w:p>
    <w:p>
      <w:pPr>
        <w:numPr>
          <w:ilvl w:val="0"/>
          <w:numId w:val="53"/>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全部设备安装调试完成后双方按技术协议条款和《</w:t>
      </w:r>
      <w:r>
        <w:rPr>
          <w:rFonts w:hint="eastAsia" w:ascii="宋体" w:hAnsi="宋体" w:eastAsia="宋体" w:cs="宋体"/>
          <w:spacing w:val="9"/>
          <w:kern w:val="4"/>
          <w:sz w:val="21"/>
          <w:szCs w:val="21"/>
          <w:lang w:val="en-US" w:eastAsia="zh-CN"/>
        </w:rPr>
        <w:t>设备</w:t>
      </w:r>
      <w:r>
        <w:rPr>
          <w:rFonts w:hint="eastAsia" w:ascii="宋体" w:hAnsi="宋体" w:eastAsia="宋体" w:cs="宋体"/>
          <w:spacing w:val="9"/>
          <w:sz w:val="21"/>
          <w:szCs w:val="21"/>
        </w:rPr>
        <w:t>检验标准》</w:t>
      </w:r>
      <w:r>
        <w:rPr>
          <w:rFonts w:hint="eastAsia" w:ascii="宋体" w:hAnsi="宋体" w:eastAsia="宋体" w:cs="宋体"/>
          <w:spacing w:val="9"/>
          <w:kern w:val="4"/>
          <w:sz w:val="21"/>
          <w:szCs w:val="21"/>
        </w:rPr>
        <w:t>验收，双方在安装调试单上签字</w:t>
      </w:r>
      <w:r>
        <w:rPr>
          <w:rFonts w:hint="eastAsia" w:ascii="宋体" w:hAnsi="宋体" w:eastAsia="宋体" w:cs="宋体"/>
          <w:spacing w:val="9"/>
          <w:kern w:val="4"/>
          <w:sz w:val="21"/>
          <w:szCs w:val="21"/>
          <w:lang w:val="en-US" w:eastAsia="zh-CN"/>
        </w:rPr>
        <w:t>并加盖公章视为</w:t>
      </w:r>
      <w:r>
        <w:rPr>
          <w:rFonts w:hint="eastAsia" w:ascii="宋体" w:hAnsi="宋体" w:eastAsia="宋体" w:cs="宋体"/>
          <w:spacing w:val="9"/>
          <w:kern w:val="4"/>
          <w:sz w:val="21"/>
          <w:szCs w:val="21"/>
        </w:rPr>
        <w:t>完成终验收</w:t>
      </w:r>
      <w:r>
        <w:rPr>
          <w:rFonts w:hint="eastAsia" w:ascii="宋体" w:hAnsi="宋体" w:eastAsia="宋体" w:cs="宋体"/>
          <w:spacing w:val="9"/>
          <w:kern w:val="4"/>
          <w:sz w:val="21"/>
          <w:szCs w:val="21"/>
          <w:lang w:eastAsia="zh-CN"/>
        </w:rPr>
        <w:t>，</w:t>
      </w:r>
      <w:r>
        <w:rPr>
          <w:rFonts w:hint="eastAsia" w:ascii="宋体" w:hAnsi="宋体" w:eastAsia="宋体" w:cs="宋体"/>
          <w:spacing w:val="9"/>
          <w:kern w:val="4"/>
          <w:sz w:val="21"/>
          <w:szCs w:val="21"/>
        </w:rPr>
        <w:t>终验收为合格且设备正常运行后</w:t>
      </w:r>
      <w:r>
        <w:rPr>
          <w:rFonts w:hint="eastAsia" w:ascii="宋体" w:hAnsi="宋体" w:eastAsia="宋体" w:cs="宋体"/>
          <w:spacing w:val="9"/>
          <w:kern w:val="4"/>
          <w:sz w:val="21"/>
          <w:szCs w:val="21"/>
          <w:lang w:val="en-US" w:eastAsia="zh-CN"/>
        </w:rPr>
        <w:t>15个工作日</w:t>
      </w:r>
      <w:r>
        <w:rPr>
          <w:rFonts w:hint="eastAsia" w:ascii="宋体" w:hAnsi="宋体" w:eastAsia="宋体" w:cs="宋体"/>
          <w:spacing w:val="9"/>
          <w:kern w:val="4"/>
          <w:sz w:val="21"/>
          <w:szCs w:val="21"/>
        </w:rPr>
        <w:t>，甲方向乙方支付合同总价30%（</w:t>
      </w:r>
      <w:r>
        <w:rPr>
          <w:rFonts w:hint="eastAsia" w:ascii="宋体" w:hAnsi="宋体" w:eastAsia="宋体" w:cs="宋体"/>
          <w:spacing w:val="9"/>
          <w:kern w:val="4"/>
          <w:sz w:val="21"/>
          <w:szCs w:val="21"/>
          <w:u w:val="single"/>
        </w:rPr>
        <w:t xml:space="preserve">    </w:t>
      </w:r>
      <w:r>
        <w:rPr>
          <w:rFonts w:hint="eastAsia" w:ascii="宋体" w:hAnsi="宋体" w:eastAsia="宋体" w:cs="宋体"/>
          <w:spacing w:val="9"/>
          <w:kern w:val="4"/>
          <w:sz w:val="21"/>
          <w:szCs w:val="21"/>
        </w:rPr>
        <w:t>万元）的进度款。</w:t>
      </w:r>
    </w:p>
    <w:p>
      <w:pPr>
        <w:numPr>
          <w:ilvl w:val="0"/>
          <w:numId w:val="53"/>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剩余合同总价10%（</w:t>
      </w:r>
      <w:r>
        <w:rPr>
          <w:rFonts w:hint="eastAsia" w:ascii="宋体" w:hAnsi="宋体" w:eastAsia="宋体" w:cs="宋体"/>
          <w:spacing w:val="9"/>
          <w:kern w:val="4"/>
          <w:sz w:val="21"/>
          <w:szCs w:val="21"/>
          <w:u w:val="single"/>
        </w:rPr>
        <w:t xml:space="preserve">    </w:t>
      </w:r>
      <w:r>
        <w:rPr>
          <w:rFonts w:hint="eastAsia" w:ascii="宋体" w:hAnsi="宋体" w:eastAsia="宋体" w:cs="宋体"/>
          <w:spacing w:val="9"/>
          <w:kern w:val="4"/>
          <w:sz w:val="21"/>
          <w:szCs w:val="21"/>
        </w:rPr>
        <w:t>万元）的款项为质保金，自终验收合格之日起满</w:t>
      </w:r>
      <w:r>
        <w:rPr>
          <w:rFonts w:hint="eastAsia" w:ascii="宋体" w:hAnsi="宋体" w:eastAsia="宋体" w:cs="宋体"/>
          <w:spacing w:val="9"/>
          <w:kern w:val="4"/>
          <w:sz w:val="21"/>
          <w:szCs w:val="21"/>
          <w:lang w:val="en-US" w:eastAsia="zh-CN"/>
        </w:rPr>
        <w:t>两</w:t>
      </w:r>
      <w:r>
        <w:rPr>
          <w:rFonts w:hint="eastAsia" w:ascii="宋体" w:hAnsi="宋体" w:eastAsia="宋体" w:cs="宋体"/>
          <w:spacing w:val="9"/>
          <w:kern w:val="4"/>
          <w:sz w:val="21"/>
          <w:szCs w:val="21"/>
        </w:rPr>
        <w:t>年后，如无质量问题无息全款付清。</w:t>
      </w:r>
    </w:p>
    <w:p>
      <w:pPr>
        <w:numPr>
          <w:ilvl w:val="0"/>
          <w:numId w:val="53"/>
        </w:numPr>
        <w:spacing w:line="360" w:lineRule="auto"/>
        <w:ind w:left="0" w:leftChars="0" w:firstLine="456" w:firstLineChars="200"/>
        <w:jc w:val="both"/>
        <w:rPr>
          <w:rFonts w:hint="eastAsia" w:ascii="宋体" w:hAnsi="宋体" w:eastAsia="宋体" w:cs="宋体"/>
          <w:spacing w:val="9"/>
          <w:kern w:val="4"/>
          <w:sz w:val="21"/>
          <w:szCs w:val="21"/>
        </w:rPr>
      </w:pPr>
      <w:r>
        <w:rPr>
          <w:rFonts w:hint="eastAsia" w:ascii="宋体" w:hAnsi="宋体" w:eastAsia="宋体" w:cs="宋体"/>
          <w:spacing w:val="9"/>
          <w:kern w:val="4"/>
          <w:sz w:val="21"/>
          <w:szCs w:val="21"/>
        </w:rPr>
        <w:t>在甲方每次付款前，乙方应先开具相关金额的税率为1</w:t>
      </w:r>
      <w:r>
        <w:rPr>
          <w:rFonts w:hint="eastAsia" w:ascii="宋体" w:hAnsi="宋体" w:eastAsia="宋体" w:cs="宋体"/>
          <w:color w:val="auto"/>
          <w:spacing w:val="9"/>
          <w:kern w:val="4"/>
          <w:sz w:val="21"/>
          <w:szCs w:val="21"/>
        </w:rPr>
        <w:t>3</w:t>
      </w:r>
      <w:r>
        <w:rPr>
          <w:rFonts w:hint="eastAsia" w:ascii="宋体" w:hAnsi="宋体" w:eastAsia="宋体" w:cs="宋体"/>
          <w:spacing w:val="9"/>
          <w:kern w:val="4"/>
          <w:sz w:val="21"/>
          <w:szCs w:val="21"/>
        </w:rPr>
        <w:t>%增值税发票；甲方付至合同总价90%的款项时，乙方应开具完合同全额发票；若乙方未按前述约定开具发票的，甲方有权拒绝付款并不承担逾期付款的责任。</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八、售后服务及保证</w:t>
      </w:r>
    </w:p>
    <w:p>
      <w:pPr>
        <w:numPr>
          <w:ilvl w:val="0"/>
          <w:numId w:val="54"/>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本合同项下设备终验收合格后</w:t>
      </w:r>
      <w:r>
        <w:rPr>
          <w:rFonts w:hint="eastAsia" w:ascii="宋体" w:hAnsi="宋体" w:eastAsia="宋体" w:cs="宋体"/>
          <w:spacing w:val="9"/>
          <w:sz w:val="21"/>
          <w:szCs w:val="21"/>
          <w:u w:val="single"/>
          <w:lang w:eastAsia="zh-CN"/>
        </w:rPr>
        <w:t xml:space="preserve"> </w:t>
      </w:r>
      <w:r>
        <w:rPr>
          <w:rFonts w:hint="eastAsia" w:ascii="宋体" w:hAnsi="宋体" w:eastAsia="宋体" w:cs="宋体"/>
          <w:spacing w:val="9"/>
          <w:sz w:val="21"/>
          <w:szCs w:val="21"/>
          <w:u w:val="single"/>
          <w:lang w:val="en-US" w:eastAsia="zh-CN"/>
        </w:rPr>
        <w:t xml:space="preserve"> 24  </w:t>
      </w:r>
      <w:r>
        <w:rPr>
          <w:rFonts w:hint="eastAsia" w:ascii="宋体" w:hAnsi="宋体" w:eastAsia="宋体" w:cs="宋体"/>
          <w:spacing w:val="9"/>
          <w:sz w:val="21"/>
          <w:szCs w:val="21"/>
        </w:rPr>
        <w:t>个月为设备的质量保证期（以下简称“质保期”），乙方承诺对设备提供终身维修保养。</w:t>
      </w:r>
    </w:p>
    <w:p>
      <w:pPr>
        <w:numPr>
          <w:ilvl w:val="0"/>
          <w:numId w:val="54"/>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质保期内，乙方在接到甲方关于设备存在质量问题的通知后4小时内应有回复；应甲方要求，乙方应在24小时内派人上门免费提供服务。期间一切费用由乙方自行承担。在质保期内由于操作不当或人为损坏甲方承担成本费用。</w:t>
      </w:r>
    </w:p>
    <w:p>
      <w:pPr>
        <w:numPr>
          <w:ilvl w:val="0"/>
          <w:numId w:val="54"/>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质保期满后，乙方承诺在接到甲方故障通知后24小时内派人现场处理，并提供有效的解决方案，乙方承诺只收取服务费及配件成本费。</w:t>
      </w:r>
    </w:p>
    <w:p>
      <w:pPr>
        <w:numPr>
          <w:ilvl w:val="0"/>
          <w:numId w:val="54"/>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乙方应负责对甲方的操作人员、设备维修人员提供技术培训服务，直至甲方操作人员、设备管理人员能正确操作、使用、常规维护、保养设备为止。</w:t>
      </w:r>
    </w:p>
    <w:p>
      <w:pPr>
        <w:numPr>
          <w:ilvl w:val="0"/>
          <w:numId w:val="54"/>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设备在运行中发生故障的，如在电话、传真或电子邮件发出后4小时后不见回复，视作乙方自愿承担甲方的一切损失。</w:t>
      </w:r>
    </w:p>
    <w:p>
      <w:pPr>
        <w:numPr>
          <w:ilvl w:val="0"/>
          <w:numId w:val="54"/>
        </w:numPr>
        <w:spacing w:line="360" w:lineRule="auto"/>
        <w:ind w:left="0" w:leftChars="0" w:firstLine="456" w:firstLineChars="200"/>
        <w:jc w:val="both"/>
        <w:rPr>
          <w:rFonts w:hint="eastAsia" w:ascii="宋体" w:hAnsi="宋体" w:eastAsia="宋体" w:cs="宋体"/>
          <w:color w:val="auto"/>
          <w:spacing w:val="9"/>
          <w:sz w:val="21"/>
          <w:szCs w:val="21"/>
          <w:highlight w:val="none"/>
        </w:rPr>
      </w:pPr>
      <w:r>
        <w:rPr>
          <w:rFonts w:hint="eastAsia" w:ascii="宋体" w:hAnsi="宋体" w:eastAsia="宋体" w:cs="宋体"/>
          <w:color w:val="auto"/>
          <w:spacing w:val="9"/>
          <w:sz w:val="21"/>
          <w:szCs w:val="21"/>
          <w:highlight w:val="none"/>
        </w:rPr>
        <w:t>乙方承诺向甲方提供设备程序的终身日常维护，包括但不限于程序升级服务或按照甲方要求提供程序远程修改服务，维护只收取配件成本费用。</w:t>
      </w:r>
    </w:p>
    <w:p>
      <w:pPr>
        <w:numPr>
          <w:ilvl w:val="0"/>
          <w:numId w:val="54"/>
        </w:numPr>
        <w:spacing w:line="360" w:lineRule="auto"/>
        <w:ind w:left="0" w:leftChars="0" w:firstLine="456" w:firstLineChars="200"/>
        <w:jc w:val="both"/>
        <w:rPr>
          <w:rFonts w:hint="eastAsia" w:ascii="宋体" w:hAnsi="宋体" w:eastAsia="宋体" w:cs="宋体"/>
          <w:color w:val="auto"/>
          <w:spacing w:val="9"/>
          <w:sz w:val="21"/>
          <w:szCs w:val="21"/>
          <w:highlight w:val="none"/>
        </w:rPr>
      </w:pPr>
      <w:r>
        <w:rPr>
          <w:rFonts w:hint="eastAsia" w:ascii="宋体" w:hAnsi="宋体" w:eastAsia="宋体" w:cs="宋体"/>
          <w:color w:val="auto"/>
          <w:spacing w:val="9"/>
          <w:sz w:val="21"/>
          <w:szCs w:val="21"/>
          <w:highlight w:val="none"/>
        </w:rPr>
        <w:t>乙方保证，在任何情况下，乙方不得擅自对设备设置锁机并采取锁机等行为，否则应当赔偿由此给甲方造成的全部直接及间接损失。</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九、风险及安全责任</w:t>
      </w:r>
    </w:p>
    <w:p>
      <w:pPr>
        <w:numPr>
          <w:ilvl w:val="0"/>
          <w:numId w:val="55"/>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本合同项下设备终验收合格前一切费用、风险由乙方承担。</w:t>
      </w:r>
    </w:p>
    <w:p>
      <w:pPr>
        <w:numPr>
          <w:ilvl w:val="0"/>
          <w:numId w:val="55"/>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乙方在甲方现场安装调试期间，应遵守甲方工厂内的各种规章制度、安全操作规程，应遵守国家的法律法规，做到安全施工，具体详见附件《施工安全、环保管理协议》。</w:t>
      </w:r>
    </w:p>
    <w:p>
      <w:pPr>
        <w:numPr>
          <w:ilvl w:val="0"/>
          <w:numId w:val="55"/>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乙方人员在安装调试期间发生的一切事故与甲方无关，责任由乙方承担；如果给甲方</w:t>
      </w:r>
      <w:r>
        <w:rPr>
          <w:rFonts w:hint="eastAsia" w:ascii="宋体" w:hAnsi="宋体" w:eastAsia="宋体" w:cs="宋体"/>
          <w:spacing w:val="9"/>
          <w:sz w:val="21"/>
          <w:szCs w:val="21"/>
          <w:lang w:val="en-US" w:eastAsia="zh-CN"/>
        </w:rPr>
        <w:t>或第三人</w:t>
      </w:r>
      <w:r>
        <w:rPr>
          <w:rFonts w:hint="eastAsia" w:ascii="宋体" w:hAnsi="宋体" w:eastAsia="宋体" w:cs="宋体"/>
          <w:spacing w:val="9"/>
          <w:sz w:val="21"/>
          <w:szCs w:val="21"/>
        </w:rPr>
        <w:t>造成</w:t>
      </w:r>
      <w:r>
        <w:rPr>
          <w:rFonts w:hint="eastAsia" w:ascii="宋体" w:hAnsi="宋体" w:eastAsia="宋体" w:cs="宋体"/>
          <w:spacing w:val="9"/>
          <w:sz w:val="21"/>
          <w:szCs w:val="21"/>
          <w:lang w:val="en-US" w:eastAsia="zh-CN"/>
        </w:rPr>
        <w:t>人身伤亡或财产</w:t>
      </w:r>
      <w:r>
        <w:rPr>
          <w:rFonts w:hint="eastAsia" w:ascii="宋体" w:hAnsi="宋体" w:eastAsia="宋体" w:cs="宋体"/>
          <w:spacing w:val="9"/>
          <w:sz w:val="21"/>
          <w:szCs w:val="21"/>
        </w:rPr>
        <w:t>损失的，</w:t>
      </w:r>
      <w:r>
        <w:rPr>
          <w:rFonts w:hint="eastAsia" w:ascii="宋体" w:hAnsi="宋体" w:eastAsia="宋体" w:cs="宋体"/>
          <w:spacing w:val="9"/>
          <w:sz w:val="21"/>
          <w:szCs w:val="21"/>
          <w:lang w:val="en-US" w:eastAsia="zh-CN"/>
        </w:rPr>
        <w:t>全部责任</w:t>
      </w:r>
      <w:r>
        <w:rPr>
          <w:rFonts w:hint="eastAsia" w:ascii="宋体" w:hAnsi="宋体" w:eastAsia="宋体" w:cs="宋体"/>
          <w:spacing w:val="9"/>
          <w:sz w:val="21"/>
          <w:szCs w:val="21"/>
        </w:rPr>
        <w:t>由乙方承担。</w:t>
      </w:r>
    </w:p>
    <w:p>
      <w:pPr>
        <w:numPr>
          <w:ilvl w:val="0"/>
          <w:numId w:val="55"/>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乙方在甲方现场安装调试期间要做到文明施工；施工完成后保证施工现场的清洁卫生。</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十、违约责任</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乙方应按照本合同及附件约定的项目进度履行合同义务，乙方延期履行合同义务的，每延期一天，应向甲方支付合同总价的0.5%违约金，按日累进计算；若乙方延期履行合同义务超过30天的，甲方有权解除合同，乙方应退还甲方已支付的合同款，并支付合同总价10%的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本合同签订生效后，乙方不得以任何理由解除合同，如单方解除合同要支付给甲方合同总价20%的违约金。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乙方交付的设备甲方有权在设备质保期内向乙方提出质量异议，设备如存在质量问题乙方应负责修复；设备调试后能正常使用但未达到设计要求的，甲方同意让步接收的，乙方应酌情减价；甲方不同意接收的，乙方应负责修复或重做。如乙方未履行或及时履行本条合同义务的，甲方有权解除合同，乙方应退还甲方已支付的合同款，并支付合同总价10%的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color w:val="auto"/>
          <w:spacing w:val="9"/>
          <w:sz w:val="21"/>
          <w:szCs w:val="21"/>
          <w:highlight w:val="none"/>
        </w:rPr>
      </w:pPr>
      <w:r>
        <w:rPr>
          <w:rFonts w:hint="eastAsia" w:ascii="宋体" w:hAnsi="宋体" w:eastAsia="宋体" w:cs="宋体"/>
          <w:color w:val="auto"/>
          <w:spacing w:val="9"/>
          <w:sz w:val="21"/>
          <w:szCs w:val="21"/>
          <w:highlight w:val="none"/>
        </w:rPr>
        <w:t>乙方未按照本合同第八条的约定提供售后服务及保证的，甲方有权委托第三方处理，产生的费用由乙方承担，同时乙方应当向甲方支付合同总价10%的违约金。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本合同项下设备达不到技术协议要求经三次整改仍达不到技术协议要求或无法正常使用的，甲方有权解除合同，乙方应退还甲方已支付的合同款，并支付合同总价10%的违约金。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乙方未履行或及时履行本合同第7条约定的合同义务的，每违约一次，乙方应向甲方支付质保金总额10%的违约金。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甲乙双方在技术协议中约定的材料，如乙方擅自更换（包括但不限于更换材料规格、品牌、质量等），乙方应向甲方支付约定材料市场价值为基数按照50%计算的违约金，同时乙方还应按甲方要求更换为约定材料，由此产生的费用由乙方自行承担。</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甲方应按合同约定时间付款，甲方延期付款的，应以逾期款项为基数按照中国人民银行授权全国银行间同业拆借中心公布的一年期贷款市场报价利率(LPR)上浮30%的标准支付违约金。</w:t>
      </w:r>
    </w:p>
    <w:p>
      <w:pPr>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56" w:firstLineChars="20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乙方存在多项违约行为的，甲方有权分别追究并主张违约金（即违约金可累加）。</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十一、资料提供</w:t>
      </w:r>
    </w:p>
    <w:p>
      <w:pPr>
        <w:spacing w:line="360" w:lineRule="auto"/>
        <w:ind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合同履行过程中，乙方应按照相应时间节点向甲方提交必需的图纸、技术文件、出厂检验报告、使用说明书、合格证等资料。</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十二、保密条款</w:t>
      </w:r>
    </w:p>
    <w:p>
      <w:pPr>
        <w:spacing w:line="360" w:lineRule="auto"/>
        <w:ind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甲乙双方互相提供的任何资料和信息，应严格保守秘密，由此给一方造成损失的，另一方应予赔偿。</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十三、知识产权约定</w:t>
      </w:r>
    </w:p>
    <w:p>
      <w:pPr>
        <w:spacing w:line="360" w:lineRule="auto"/>
        <w:ind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乙方保证其交付的设备不侵犯任何第三方的合法权益，如乙方在设计、开发、制造过程中造成对第三方的侵权，由乙方承担全部责任；如发生第三方主张乙方侵权的，甲方不承担任何责任，由此给甲方造成的损失由乙方承担。</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十四、不可抗力</w:t>
      </w:r>
    </w:p>
    <w:p>
      <w:pPr>
        <w:numPr>
          <w:ilvl w:val="0"/>
          <w:numId w:val="57"/>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如一方因不可抗力未能履行合同义务的，则在不可抗力存续期间，双方应尽最大努力将因此造成的损失减轻到最低程度，因不可抗力所引起的问题双方应通过协商解决。</w:t>
      </w:r>
    </w:p>
    <w:p>
      <w:pPr>
        <w:numPr>
          <w:ilvl w:val="0"/>
          <w:numId w:val="57"/>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遭受不可抗力的一方应立即（不迟于获悉不可抗力后一天）用电话或传真通知另一方；同时，遭受不可抗力的一方有义务证明所发生的不可抗力事故，以及事故持续时间。</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十五、争议解决</w:t>
      </w:r>
    </w:p>
    <w:p>
      <w:pPr>
        <w:numPr>
          <w:ilvl w:val="0"/>
          <w:numId w:val="58"/>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本合同如发生理解方面纠纷，应当结合合同目的予以解释，如果有两种以上解释的，乙方同意以甲方对合同文义理解予以解释。</w:t>
      </w:r>
    </w:p>
    <w:p>
      <w:pPr>
        <w:numPr>
          <w:ilvl w:val="0"/>
          <w:numId w:val="58"/>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因执行本合同所发生的或与本合同条款有关的争议，双方应先协商予以解决；如协商不成的，</w:t>
      </w:r>
      <w:r>
        <w:rPr>
          <w:rFonts w:hint="eastAsia" w:ascii="宋体" w:hAnsi="宋体" w:eastAsia="宋体" w:cs="宋体"/>
          <w:sz w:val="21"/>
          <w:szCs w:val="21"/>
        </w:rPr>
        <w:t>双方均可向甲方所在地人民法院提起诉讼。</w:t>
      </w:r>
    </w:p>
    <w:p>
      <w:pPr>
        <w:spacing w:line="360" w:lineRule="auto"/>
        <w:ind w:firstLine="458" w:firstLineChars="200"/>
        <w:jc w:val="both"/>
        <w:rPr>
          <w:rFonts w:hint="eastAsia" w:ascii="宋体" w:hAnsi="宋体" w:eastAsia="宋体" w:cs="宋体"/>
          <w:b/>
          <w:bCs/>
          <w:spacing w:val="9"/>
          <w:sz w:val="21"/>
          <w:szCs w:val="21"/>
        </w:rPr>
      </w:pPr>
      <w:r>
        <w:rPr>
          <w:rFonts w:hint="eastAsia" w:ascii="宋体" w:hAnsi="宋体" w:eastAsia="宋体" w:cs="宋体"/>
          <w:b/>
          <w:bCs/>
          <w:spacing w:val="9"/>
          <w:sz w:val="21"/>
          <w:szCs w:val="21"/>
        </w:rPr>
        <w:t>十六、附则</w:t>
      </w:r>
    </w:p>
    <w:p>
      <w:pPr>
        <w:numPr>
          <w:ilvl w:val="0"/>
          <w:numId w:val="59"/>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双方签订的《技术协议》、《施工安全、环保管理协议》、《设备分项价格清单》等文件均为合同的附件，与合同约定不一致时，以合同为准。</w:t>
      </w:r>
    </w:p>
    <w:p>
      <w:pPr>
        <w:numPr>
          <w:ilvl w:val="0"/>
          <w:numId w:val="59"/>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对本合同条款的任何变更、修改或增减，需经双方协商同意后授权代表签署书面文件并盖章，作为本合同条款的组成部分并具有同等法律效力。</w:t>
      </w:r>
    </w:p>
    <w:p>
      <w:pPr>
        <w:numPr>
          <w:ilvl w:val="0"/>
          <w:numId w:val="59"/>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其他本合同未尽事宜，由双方协商，作补充协议，补充协议与技术协议经签字盖章后与本合同具有同等的法律效力。</w:t>
      </w:r>
    </w:p>
    <w:p>
      <w:pPr>
        <w:numPr>
          <w:ilvl w:val="0"/>
          <w:numId w:val="59"/>
        </w:numPr>
        <w:spacing w:line="360" w:lineRule="auto"/>
        <w:ind w:left="0" w:leftChars="0" w:firstLine="456" w:firstLineChars="200"/>
        <w:jc w:val="both"/>
        <w:rPr>
          <w:rFonts w:hint="eastAsia" w:ascii="宋体" w:hAnsi="宋体" w:eastAsia="宋体" w:cs="宋体"/>
          <w:spacing w:val="9"/>
          <w:sz w:val="21"/>
          <w:szCs w:val="21"/>
        </w:rPr>
      </w:pPr>
      <w:r>
        <w:rPr>
          <w:rFonts w:hint="eastAsia" w:ascii="宋体" w:hAnsi="宋体" w:eastAsia="宋体" w:cs="宋体"/>
          <w:spacing w:val="9"/>
          <w:sz w:val="21"/>
          <w:szCs w:val="21"/>
        </w:rPr>
        <w:t>本合同壹式肆份，双方各执贰份。合同经双方签字（盖章）后生效。</w:t>
      </w:r>
    </w:p>
    <w:p>
      <w:pPr>
        <w:spacing w:line="360" w:lineRule="auto"/>
        <w:ind w:firstLine="456" w:firstLineChars="200"/>
        <w:jc w:val="both"/>
        <w:rPr>
          <w:rFonts w:hint="eastAsia" w:ascii="宋体" w:hAnsi="宋体" w:eastAsia="宋体" w:cs="宋体"/>
          <w:spacing w:val="9"/>
          <w:sz w:val="21"/>
          <w:szCs w:val="21"/>
          <w:lang w:eastAsia="zh-CN"/>
        </w:rPr>
      </w:pPr>
      <w:r>
        <w:rPr>
          <w:rFonts w:hint="eastAsia" w:ascii="宋体" w:hAnsi="宋体" w:eastAsia="宋体" w:cs="宋体"/>
          <w:spacing w:val="9"/>
          <w:sz w:val="21"/>
          <w:szCs w:val="21"/>
          <w:lang w:eastAsia="zh-CN"/>
        </w:rPr>
        <w:t>（</w:t>
      </w:r>
      <w:r>
        <w:rPr>
          <w:rFonts w:hint="eastAsia" w:ascii="宋体" w:hAnsi="宋体" w:eastAsia="宋体" w:cs="宋体"/>
          <w:spacing w:val="9"/>
          <w:sz w:val="21"/>
          <w:szCs w:val="21"/>
          <w:lang w:val="en-US" w:eastAsia="zh-CN"/>
        </w:rPr>
        <w:t>以下无正文</w:t>
      </w:r>
      <w:r>
        <w:rPr>
          <w:rFonts w:hint="eastAsia" w:ascii="宋体" w:hAnsi="宋体" w:eastAsia="宋体" w:cs="宋体"/>
          <w:spacing w:val="9"/>
          <w:sz w:val="21"/>
          <w:szCs w:val="21"/>
          <w:lang w:eastAsia="zh-CN"/>
        </w:rPr>
        <w:t>）</w:t>
      </w:r>
    </w:p>
    <w:p>
      <w:pPr>
        <w:spacing w:line="360" w:lineRule="auto"/>
        <w:ind w:firstLine="456" w:firstLineChars="200"/>
        <w:jc w:val="both"/>
        <w:rPr>
          <w:rFonts w:hint="eastAsia" w:ascii="宋体" w:hAnsi="宋体" w:eastAsia="宋体" w:cs="宋体"/>
          <w:spacing w:val="9"/>
          <w:sz w:val="21"/>
          <w:szCs w:val="21"/>
        </w:rPr>
        <w:sectPr>
          <w:headerReference r:id="rId7" w:type="default"/>
          <w:footerReference r:id="rId8" w:type="default"/>
          <w:pgSz w:w="11906" w:h="16838"/>
          <w:pgMar w:top="1558" w:right="1286" w:bottom="403" w:left="1440" w:header="544"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ind w:firstLine="456" w:firstLineChars="200"/>
        <w:jc w:val="both"/>
        <w:rPr>
          <w:rFonts w:hint="eastAsia" w:ascii="宋体" w:hAnsi="宋体" w:eastAsia="宋体" w:cs="宋体"/>
          <w:spacing w:val="9"/>
          <w:sz w:val="21"/>
          <w:szCs w:val="21"/>
          <w:lang w:eastAsia="zh-CN"/>
        </w:rPr>
      </w:pPr>
      <w:r>
        <w:rPr>
          <w:rFonts w:hint="eastAsia" w:ascii="宋体" w:hAnsi="宋体" w:eastAsia="宋体" w:cs="宋体"/>
          <w:spacing w:val="9"/>
          <w:sz w:val="21"/>
          <w:szCs w:val="21"/>
          <w:lang w:eastAsia="zh-CN"/>
        </w:rPr>
        <w:t>（</w:t>
      </w:r>
      <w:r>
        <w:rPr>
          <w:rFonts w:hint="eastAsia" w:ascii="宋体" w:hAnsi="宋体" w:eastAsia="宋体" w:cs="宋体"/>
          <w:spacing w:val="9"/>
          <w:sz w:val="21"/>
          <w:szCs w:val="21"/>
          <w:lang w:val="en-US" w:eastAsia="zh-CN"/>
        </w:rPr>
        <w:t>本页无正文，为广东亿利达风机有限公司与</w:t>
      </w:r>
      <w:r>
        <w:rPr>
          <w:rFonts w:hint="eastAsia" w:ascii="宋体" w:hAnsi="宋体" w:eastAsia="宋体" w:cs="宋体"/>
          <w:spacing w:val="9"/>
          <w:sz w:val="21"/>
          <w:szCs w:val="21"/>
          <w:u w:val="single"/>
          <w:lang w:val="en-US" w:eastAsia="zh-CN"/>
        </w:rPr>
        <w:t xml:space="preserve">             </w:t>
      </w:r>
      <w:r>
        <w:rPr>
          <w:rFonts w:hint="eastAsia" w:ascii="宋体" w:hAnsi="宋体" w:eastAsia="宋体" w:cs="宋体"/>
          <w:spacing w:val="9"/>
          <w:sz w:val="21"/>
          <w:szCs w:val="21"/>
          <w:u w:val="none"/>
          <w:lang w:val="en-US" w:eastAsia="zh-CN"/>
        </w:rPr>
        <w:t>签署的</w:t>
      </w:r>
      <w:r>
        <w:rPr>
          <w:rFonts w:hint="eastAsia" w:ascii="宋体" w:hAnsi="宋体" w:eastAsia="宋体" w:cs="宋体"/>
          <w:spacing w:val="9"/>
          <w:sz w:val="21"/>
          <w:szCs w:val="21"/>
          <w:lang w:val="en-US" w:eastAsia="zh-CN"/>
        </w:rPr>
        <w:t>编号为</w:t>
      </w:r>
      <w:r>
        <w:rPr>
          <w:rFonts w:hint="eastAsia" w:ascii="宋体" w:hAnsi="宋体" w:eastAsia="宋体" w:cs="宋体"/>
          <w:spacing w:val="9"/>
          <w:sz w:val="21"/>
          <w:szCs w:val="21"/>
          <w:u w:val="single"/>
          <w:lang w:val="en-US" w:eastAsia="zh-CN"/>
        </w:rPr>
        <w:t xml:space="preserve">                </w:t>
      </w:r>
      <w:r>
        <w:rPr>
          <w:rFonts w:hint="eastAsia" w:ascii="宋体" w:hAnsi="宋体" w:eastAsia="宋体" w:cs="宋体"/>
          <w:spacing w:val="9"/>
          <w:sz w:val="21"/>
          <w:szCs w:val="21"/>
          <w:u w:val="none"/>
          <w:lang w:val="en-US" w:eastAsia="zh-CN"/>
        </w:rPr>
        <w:t>的</w:t>
      </w:r>
      <w:r>
        <w:rPr>
          <w:rFonts w:hint="eastAsia" w:ascii="宋体" w:hAnsi="宋体" w:eastAsia="宋体" w:cs="宋体"/>
          <w:spacing w:val="9"/>
          <w:sz w:val="21"/>
          <w:szCs w:val="21"/>
          <w:lang w:val="en-US" w:eastAsia="zh-CN"/>
        </w:rPr>
        <w:t>《设备承揽合同》的签署页</w:t>
      </w:r>
      <w:r>
        <w:rPr>
          <w:rFonts w:hint="eastAsia" w:ascii="宋体" w:hAnsi="宋体" w:eastAsia="宋体" w:cs="宋体"/>
          <w:spacing w:val="9"/>
          <w:sz w:val="21"/>
          <w:szCs w:val="21"/>
          <w:lang w:eastAsia="zh-CN"/>
        </w:rPr>
        <w:t>）</w:t>
      </w:r>
    </w:p>
    <w:p>
      <w:pPr>
        <w:spacing w:line="360" w:lineRule="auto"/>
        <w:jc w:val="left"/>
        <w:rPr>
          <w:rFonts w:hint="eastAsia" w:ascii="宋体" w:hAnsi="宋体" w:eastAsia="宋体" w:cs="宋体"/>
          <w:spacing w:val="9"/>
          <w:sz w:val="21"/>
          <w:szCs w:val="21"/>
        </w:rPr>
      </w:pPr>
    </w:p>
    <w:p>
      <w:pPr>
        <w:spacing w:line="400" w:lineRule="exact"/>
        <w:jc w:val="left"/>
        <w:rPr>
          <w:rFonts w:hint="eastAsia" w:ascii="宋体" w:hAnsi="宋体" w:eastAsia="宋体" w:cs="宋体"/>
          <w:spacing w:val="9"/>
          <w:sz w:val="21"/>
          <w:szCs w:val="21"/>
        </w:rPr>
      </w:pP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甲方名称：</w:t>
      </w:r>
      <w:r>
        <w:rPr>
          <w:rFonts w:hint="eastAsia" w:ascii="宋体" w:hAnsi="宋体" w:eastAsia="宋体" w:cs="宋体"/>
          <w:spacing w:val="9"/>
          <w:sz w:val="21"/>
          <w:szCs w:val="21"/>
          <w:lang w:val="en-US" w:eastAsia="zh-CN"/>
        </w:rPr>
        <w:t>广东亿利达风机有限公司</w:t>
      </w:r>
      <w:r>
        <w:rPr>
          <w:rFonts w:hint="eastAsia" w:ascii="宋体" w:hAnsi="宋体" w:eastAsia="宋体" w:cs="宋体"/>
          <w:spacing w:val="9"/>
          <w:sz w:val="21"/>
          <w:szCs w:val="21"/>
        </w:rPr>
        <w:t>（盖章）</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授权代表：</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开户行：</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账号：</w:t>
      </w:r>
    </w:p>
    <w:p>
      <w:pPr>
        <w:tabs>
          <w:tab w:val="left" w:pos="3883"/>
        </w:tabs>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税号：</w:t>
      </w:r>
      <w:r>
        <w:rPr>
          <w:rFonts w:hint="eastAsia" w:ascii="宋体" w:hAnsi="宋体" w:eastAsia="宋体" w:cs="宋体"/>
          <w:spacing w:val="9"/>
          <w:sz w:val="21"/>
          <w:szCs w:val="21"/>
        </w:rPr>
        <w:tab/>
      </w:r>
    </w:p>
    <w:p>
      <w:pPr>
        <w:widowControl/>
        <w:wordWrap w:val="0"/>
        <w:spacing w:after="196" w:line="360" w:lineRule="auto"/>
        <w:ind w:right="-6750"/>
        <w:jc w:val="left"/>
        <w:rPr>
          <w:rFonts w:hint="eastAsia" w:ascii="宋体" w:hAnsi="宋体" w:eastAsia="宋体" w:cs="宋体"/>
          <w:spacing w:val="9"/>
          <w:sz w:val="21"/>
          <w:szCs w:val="21"/>
        </w:rPr>
      </w:pPr>
      <w:r>
        <w:rPr>
          <w:rFonts w:hint="eastAsia" w:ascii="宋体" w:hAnsi="宋体" w:eastAsia="宋体" w:cs="宋体"/>
          <w:spacing w:val="9"/>
          <w:sz w:val="21"/>
          <w:szCs w:val="21"/>
        </w:rPr>
        <w:t>地址：</w:t>
      </w:r>
    </w:p>
    <w:p>
      <w:pPr>
        <w:spacing w:line="360" w:lineRule="auto"/>
        <w:jc w:val="left"/>
        <w:rPr>
          <w:rFonts w:hint="eastAsia" w:ascii="宋体" w:hAnsi="宋体" w:eastAsia="宋体" w:cs="宋体"/>
          <w:spacing w:val="9"/>
          <w:sz w:val="21"/>
          <w:szCs w:val="21"/>
        </w:rPr>
      </w:pPr>
    </w:p>
    <w:p>
      <w:pPr>
        <w:spacing w:line="360" w:lineRule="auto"/>
        <w:jc w:val="left"/>
        <w:rPr>
          <w:rFonts w:hint="eastAsia" w:ascii="宋体" w:hAnsi="宋体" w:eastAsia="宋体" w:cs="宋体"/>
          <w:spacing w:val="9"/>
          <w:sz w:val="21"/>
          <w:szCs w:val="21"/>
        </w:rPr>
      </w:pP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乙方名称：                     （盖章）</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授权代表：</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开户行：</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账号：</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税号：</w:t>
      </w:r>
    </w:p>
    <w:p>
      <w:pPr>
        <w:spacing w:line="360" w:lineRule="auto"/>
        <w:jc w:val="left"/>
        <w:rPr>
          <w:rFonts w:hint="eastAsia" w:ascii="宋体" w:hAnsi="宋体" w:eastAsia="宋体" w:cs="宋体"/>
          <w:spacing w:val="9"/>
          <w:sz w:val="21"/>
          <w:szCs w:val="21"/>
        </w:rPr>
      </w:pPr>
      <w:r>
        <w:rPr>
          <w:rFonts w:hint="eastAsia" w:ascii="宋体" w:hAnsi="宋体" w:eastAsia="宋体" w:cs="宋体"/>
          <w:spacing w:val="9"/>
          <w:sz w:val="21"/>
          <w:szCs w:val="21"/>
        </w:rPr>
        <w:t>地址：</w:t>
      </w:r>
    </w:p>
    <w:p>
      <w:pPr>
        <w:adjustRightInd w:val="0"/>
        <w:snapToGrid w:val="0"/>
        <w:spacing w:beforeLines="50" w:afterLines="50" w:line="360" w:lineRule="auto"/>
        <w:jc w:val="both"/>
        <w:outlineLvl w:val="0"/>
        <w:rPr>
          <w:rFonts w:hint="eastAsia" w:ascii="宋体" w:hAnsi="宋体" w:eastAsia="宋体" w:cs="宋体"/>
          <w:b/>
          <w:color w:val="000000" w:themeColor="text1"/>
          <w:sz w:val="21"/>
          <w:szCs w:val="21"/>
          <w14:textFill>
            <w14:solidFill>
              <w14:schemeClr w14:val="tx1"/>
            </w14:solidFill>
          </w14:textFill>
        </w:rPr>
        <w:sectPr>
          <w:footerReference r:id="rId9" w:type="default"/>
          <w:footerReference r:id="rId10" w:type="even"/>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2"/>
        <w:spacing w:after="0" w:line="360" w:lineRule="auto"/>
        <w:jc w:val="center"/>
        <w:rPr>
          <w:rFonts w:hint="eastAsia" w:ascii="宋体" w:hAnsi="宋体"/>
          <w:color w:val="000000" w:themeColor="text1"/>
          <w:highlight w:val="none"/>
          <w14:textFill>
            <w14:solidFill>
              <w14:schemeClr w14:val="tx1"/>
            </w14:solidFill>
          </w14:textFill>
        </w:rPr>
      </w:pPr>
      <w:bookmarkStart w:id="245" w:name="_Toc21565"/>
      <w:bookmarkStart w:id="246" w:name="_Toc21517"/>
      <w:bookmarkStart w:id="247" w:name="_Toc14129"/>
      <w:bookmarkStart w:id="248" w:name="_Toc4351"/>
      <w:bookmarkStart w:id="249" w:name="_Toc23577"/>
      <w:bookmarkStart w:id="250" w:name="_Toc22987"/>
      <w:bookmarkStart w:id="251" w:name="_Toc25111"/>
      <w:bookmarkStart w:id="252" w:name="_Toc28621"/>
      <w:r>
        <w:rPr>
          <w:rFonts w:hint="eastAsia"/>
          <w:highlight w:val="none"/>
        </w:rPr>
        <w:t xml:space="preserve">第四章  </w:t>
      </w:r>
      <w:bookmarkEnd w:id="242"/>
      <w:bookmarkEnd w:id="243"/>
      <w:bookmarkEnd w:id="244"/>
      <w:r>
        <w:rPr>
          <w:rFonts w:hint="eastAsia"/>
          <w:highlight w:val="none"/>
        </w:rPr>
        <w:t>用户需求</w:t>
      </w:r>
      <w:bookmarkEnd w:id="245"/>
      <w:bookmarkEnd w:id="246"/>
      <w:bookmarkEnd w:id="247"/>
      <w:bookmarkEnd w:id="248"/>
      <w:bookmarkEnd w:id="249"/>
      <w:bookmarkEnd w:id="250"/>
      <w:bookmarkEnd w:id="251"/>
      <w:bookmarkEnd w:id="252"/>
      <w:bookmarkStart w:id="253" w:name="_Toc226969356"/>
      <w:bookmarkStart w:id="254" w:name="_Toc227057962"/>
    </w:p>
    <w:p>
      <w:pPr>
        <w:pStyle w:val="3"/>
        <w:numPr>
          <w:ilvl w:val="0"/>
          <w:numId w:val="60"/>
        </w:numPr>
        <w:ind w:firstLine="420" w:firstLineChars="0"/>
        <w:rPr>
          <w:rFonts w:hint="eastAsia" w:ascii="宋体" w:hAnsi="宋体" w:eastAsia="宋体" w:cs="宋体"/>
          <w:b/>
          <w:bCs w:val="0"/>
          <w:sz w:val="32"/>
          <w:szCs w:val="32"/>
          <w:lang w:val="en-US" w:eastAsia="zh-CN"/>
        </w:rPr>
      </w:pPr>
      <w:bookmarkStart w:id="255" w:name="_Toc8182"/>
      <w:bookmarkStart w:id="256" w:name="_Toc11446"/>
      <w:bookmarkStart w:id="257" w:name="_Toc19713"/>
      <w:bookmarkStart w:id="258" w:name="_Toc32054"/>
      <w:r>
        <w:rPr>
          <w:rFonts w:hint="eastAsia" w:ascii="宋体" w:hAnsi="宋体" w:eastAsia="宋体" w:cs="宋体"/>
          <w:b/>
          <w:bCs w:val="0"/>
          <w:sz w:val="32"/>
          <w:szCs w:val="32"/>
          <w:lang w:val="en-US" w:eastAsia="zh-CN"/>
        </w:rPr>
        <w:t>项目概况</w:t>
      </w:r>
      <w:bookmarkEnd w:id="255"/>
      <w:bookmarkEnd w:id="256"/>
      <w:bookmarkEnd w:id="257"/>
      <w:bookmarkEnd w:id="258"/>
    </w:p>
    <w:p>
      <w:pPr>
        <w:widowControl/>
        <w:numPr>
          <w:ilvl w:val="-1"/>
          <w:numId w:val="0"/>
        </w:numPr>
        <w:spacing w:line="360" w:lineRule="auto"/>
        <w:ind w:firstLine="420" w:firstLineChars="200"/>
        <w:jc w:val="both"/>
        <w:rPr>
          <w:rFonts w:hint="default" w:ascii="宋体" w:hAnsi="宋体" w:eastAsia="宋体" w:cs="宋体"/>
          <w:b w:val="0"/>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color w:val="000000" w:themeColor="text1"/>
          <w:sz w:val="21"/>
          <w:szCs w:val="21"/>
          <w:highlight w:val="none"/>
          <w:lang w:val="en-US" w:eastAsia="zh-CN"/>
          <w14:textFill>
            <w14:solidFill>
              <w14:schemeClr w14:val="tx1"/>
            </w14:solidFill>
          </w14:textFill>
        </w:rPr>
        <w:t>为提高公司生产效率，降低产品运输风险，更好应对市场订单变化，决定实施本项目。</w:t>
      </w:r>
    </w:p>
    <w:p>
      <w:pPr>
        <w:pStyle w:val="3"/>
        <w:numPr>
          <w:ilvl w:val="0"/>
          <w:numId w:val="60"/>
        </w:numPr>
        <w:ind w:firstLine="420" w:firstLineChars="0"/>
        <w:rPr>
          <w:rFonts w:hint="eastAsia" w:ascii="宋体" w:hAnsi="宋体" w:eastAsia="宋体" w:cs="宋体"/>
          <w:b/>
          <w:bCs w:val="0"/>
          <w:sz w:val="32"/>
          <w:szCs w:val="32"/>
          <w:lang w:val="en-US" w:eastAsia="zh-CN"/>
        </w:rPr>
      </w:pPr>
      <w:bookmarkStart w:id="259" w:name="_Toc21637"/>
      <w:bookmarkStart w:id="260" w:name="_Toc29034"/>
      <w:bookmarkStart w:id="261" w:name="_Toc23632"/>
      <w:bookmarkStart w:id="262" w:name="_Toc19222"/>
      <w:r>
        <w:rPr>
          <w:rFonts w:hint="eastAsia" w:ascii="宋体" w:hAnsi="宋体" w:eastAsia="宋体" w:cs="宋体"/>
          <w:b/>
          <w:bCs w:val="0"/>
          <w:sz w:val="32"/>
          <w:szCs w:val="32"/>
          <w:lang w:val="en-US" w:eastAsia="zh-CN"/>
        </w:rPr>
        <w:t>技术要求</w:t>
      </w:r>
      <w:bookmarkEnd w:id="259"/>
      <w:bookmarkEnd w:id="260"/>
      <w:bookmarkEnd w:id="261"/>
      <w:bookmarkEnd w:id="262"/>
    </w:p>
    <w:tbl>
      <w:tblPr>
        <w:tblStyle w:val="47"/>
        <w:tblW w:w="86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893"/>
        <w:gridCol w:w="2911"/>
        <w:gridCol w:w="3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368" w:type="dxa"/>
          </w:tcPr>
          <w:p>
            <w:pPr>
              <w:widowControl/>
              <w:numPr>
                <w:ilvl w:val="-1"/>
                <w:numId w:val="0"/>
              </w:numPr>
              <w:spacing w:line="360" w:lineRule="auto"/>
              <w:jc w:val="center"/>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产品名称</w:t>
            </w:r>
          </w:p>
        </w:tc>
        <w:tc>
          <w:tcPr>
            <w:tcW w:w="893" w:type="dxa"/>
          </w:tcPr>
          <w:p>
            <w:pPr>
              <w:widowControl/>
              <w:numPr>
                <w:ilvl w:val="-1"/>
                <w:numId w:val="0"/>
              </w:numPr>
              <w:spacing w:line="360" w:lineRule="auto"/>
              <w:jc w:val="center"/>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数量</w:t>
            </w:r>
          </w:p>
        </w:tc>
        <w:tc>
          <w:tcPr>
            <w:tcW w:w="2911" w:type="dxa"/>
          </w:tcPr>
          <w:p>
            <w:pPr>
              <w:widowControl/>
              <w:numPr>
                <w:ilvl w:val="-1"/>
                <w:numId w:val="0"/>
              </w:numPr>
              <w:spacing w:line="360" w:lineRule="auto"/>
              <w:jc w:val="center"/>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技术指标</w:t>
            </w:r>
          </w:p>
        </w:tc>
        <w:tc>
          <w:tcPr>
            <w:tcW w:w="3492" w:type="dxa"/>
          </w:tcPr>
          <w:p>
            <w:pPr>
              <w:widowControl/>
              <w:numPr>
                <w:ilvl w:val="-1"/>
                <w:numId w:val="0"/>
              </w:numPr>
              <w:spacing w:line="360" w:lineRule="auto"/>
              <w:jc w:val="center"/>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eastAsia="zh-CN"/>
              </w:rPr>
              <w:t>注塑机</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规格型号/款式</w:t>
            </w:r>
          </w:p>
        </w:tc>
        <w:tc>
          <w:tcPr>
            <w:tcW w:w="3492" w:type="dxa"/>
            <w:vAlign w:val="center"/>
          </w:tcPr>
          <w:p>
            <w:pPr>
              <w:widowControl/>
              <w:numPr>
                <w:ilvl w:val="-1"/>
                <w:numId w:val="0"/>
              </w:numPr>
              <w:spacing w:line="240" w:lineRule="auto"/>
              <w:jc w:val="left"/>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Cs w:val="21"/>
                <w:lang w:val="en-US" w:eastAsia="zh-CN"/>
                <w14:textFill>
                  <w14:solidFill>
                    <w14:schemeClr w14:val="tx1"/>
                  </w14:solidFill>
                </w14:textFill>
              </w:rPr>
              <w:t>锁模力≥4700KN；顶出力≥110KN；顶出行程：200mm；注射容量≥1420cm³，螺杆直径：φ7mm；模厚320~780mm，</w:t>
            </w:r>
            <w:r>
              <w:rPr>
                <w:rFonts w:hint="eastAsia" w:ascii="宋体" w:hAnsi="宋体" w:eastAsia="宋体" w:cs="宋体"/>
                <w:b w:val="0"/>
                <w:bCs w:val="0"/>
                <w:color w:val="000000" w:themeColor="text1"/>
                <w:kern w:val="2"/>
                <w:sz w:val="21"/>
                <w:szCs w:val="21"/>
                <w:lang w:val="en-US" w:eastAsia="zh-CN" w:bidi="ar"/>
                <w14:textFill>
                  <w14:solidFill>
                    <w14:schemeClr w14:val="tx1"/>
                  </w14:solidFill>
                </w14:textFill>
              </w:rPr>
              <w:t>注射压力≥226MPa等；伺服节能。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eastAsia="zh-CN"/>
              </w:rPr>
              <w:t>料斗干燥机</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功率</w:t>
            </w:r>
          </w:p>
        </w:tc>
        <w:tc>
          <w:tcPr>
            <w:tcW w:w="3492"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6720W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eastAsia="zh-CN"/>
              </w:rPr>
              <w:t>机械手</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伺服轴数</w:t>
            </w:r>
          </w:p>
        </w:tc>
        <w:tc>
          <w:tcPr>
            <w:tcW w:w="3492"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5轴/品牌伺服控制器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rPr>
              <w:t>粉碎机</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噪音/功率/</w:t>
            </w:r>
          </w:p>
        </w:tc>
        <w:tc>
          <w:tcPr>
            <w:tcW w:w="3492"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i w:val="0"/>
                <w:iCs w:val="0"/>
                <w:color w:val="000000"/>
                <w:sz w:val="21"/>
                <w:szCs w:val="21"/>
                <w:u w:val="none"/>
              </w:rPr>
              <w:t>慢速静音</w:t>
            </w:r>
            <w:r>
              <w:rPr>
                <w:rFonts w:hint="eastAsia" w:ascii="宋体" w:hAnsi="宋体" w:eastAsia="宋体" w:cs="宋体"/>
                <w:b w:val="0"/>
                <w:bCs w:val="0"/>
                <w:i w:val="0"/>
                <w:iCs w:val="0"/>
                <w:color w:val="000000"/>
                <w:sz w:val="21"/>
                <w:szCs w:val="21"/>
                <w:u w:val="none"/>
                <w:lang w:val="en-US" w:eastAsia="zh-CN"/>
              </w:rPr>
              <w:t>/3HP/比例阀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eastAsia="zh-CN"/>
              </w:rPr>
              <w:t>冷水机</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功率</w:t>
            </w:r>
          </w:p>
        </w:tc>
        <w:tc>
          <w:tcPr>
            <w:tcW w:w="3492"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5HP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eastAsia="zh-CN"/>
              </w:rPr>
              <w:t>填料机</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1</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风机功率/输送管道/输送能力/料斗容量</w:t>
            </w:r>
          </w:p>
        </w:tc>
        <w:tc>
          <w:tcPr>
            <w:tcW w:w="3492"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1.2KW/1.5inch/300kghr/6L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trPr>
        <w:tc>
          <w:tcPr>
            <w:tcW w:w="1368"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eastAsia="zh-CN"/>
              </w:rPr>
              <w:t>流水线</w:t>
            </w:r>
          </w:p>
        </w:tc>
        <w:tc>
          <w:tcPr>
            <w:tcW w:w="893" w:type="dxa"/>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2"/>
                <w:sz w:val="21"/>
                <w:szCs w:val="21"/>
                <w:u w:val="none"/>
                <w:lang w:val="en-US" w:eastAsia="zh-CN" w:bidi="ar-SA"/>
              </w:rPr>
            </w:pPr>
            <w:r>
              <w:rPr>
                <w:rFonts w:hint="eastAsia" w:ascii="宋体" w:hAnsi="宋体" w:eastAsia="宋体" w:cs="宋体"/>
                <w:b w:val="0"/>
                <w:bCs w:val="0"/>
                <w:i w:val="0"/>
                <w:iCs w:val="0"/>
                <w:color w:val="000000"/>
                <w:sz w:val="21"/>
                <w:szCs w:val="21"/>
                <w:u w:val="none"/>
                <w:lang w:val="en-US" w:eastAsia="zh-CN"/>
              </w:rPr>
              <w:t>2</w:t>
            </w:r>
          </w:p>
        </w:tc>
        <w:tc>
          <w:tcPr>
            <w:tcW w:w="2911" w:type="dxa"/>
            <w:vAlign w:val="center"/>
          </w:tcPr>
          <w:p>
            <w:pPr>
              <w:widowControl/>
              <w:numPr>
                <w:ilvl w:val="-1"/>
                <w:numId w:val="0"/>
              </w:numPr>
              <w:spacing w:line="360" w:lineRule="auto"/>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规格尺寸/结构样式/调速形式</w:t>
            </w:r>
          </w:p>
        </w:tc>
        <w:tc>
          <w:tcPr>
            <w:tcW w:w="3492" w:type="dxa"/>
            <w:vAlign w:val="center"/>
          </w:tcPr>
          <w:p>
            <w:pPr>
              <w:widowControl/>
              <w:numPr>
                <w:ilvl w:val="-1"/>
                <w:numId w:val="0"/>
              </w:numPr>
              <w:spacing w:line="360" w:lineRule="auto"/>
              <w:jc w:val="center"/>
              <w:rPr>
                <w:rFonts w:hint="eastAsia" w:ascii="宋体" w:hAnsi="宋体" w:eastAsia="宋体" w:cs="宋体"/>
                <w:b w:val="0"/>
                <w:bCs w:val="0"/>
                <w:i w:val="0"/>
                <w:iCs w:val="0"/>
                <w:caps w:val="0"/>
                <w:color w:val="000000" w:themeColor="text1"/>
                <w:spacing w:val="0"/>
                <w:sz w:val="21"/>
                <w:szCs w:val="21"/>
                <w:highlight w:val="none"/>
                <w:shd w:val="clear"/>
                <w14:textFill>
                  <w14:solidFill>
                    <w14:schemeClr w14:val="tx1"/>
                  </w14:solidFill>
                </w14:textFill>
              </w:rPr>
            </w:pPr>
            <w:r>
              <w:rPr>
                <w:rFonts w:hint="eastAsia" w:ascii="宋体" w:hAnsi="宋体" w:eastAsia="宋体" w:cs="宋体"/>
                <w:b w:val="0"/>
                <w:bCs w:val="0"/>
                <w:i w:val="0"/>
                <w:iCs w:val="0"/>
                <w:caps w:val="0"/>
                <w:color w:val="000000"/>
                <w:spacing w:val="0"/>
                <w:sz w:val="21"/>
                <w:szCs w:val="21"/>
                <w:highlight w:val="none"/>
              </w:rPr>
              <w:t>流水线①：长6500*宽500*高2300（高度可调整结构）；流水线②：</w:t>
            </w:r>
            <w:r>
              <w:rPr>
                <w:rFonts w:hint="eastAsia" w:ascii="宋体" w:hAnsi="宋体" w:eastAsia="宋体" w:cs="宋体"/>
                <w:b w:val="0"/>
                <w:bCs w:val="0"/>
                <w:i w:val="0"/>
                <w:iCs w:val="0"/>
                <w:caps w:val="0"/>
                <w:color w:val="000000"/>
                <w:spacing w:val="0"/>
                <w:sz w:val="21"/>
                <w:szCs w:val="21"/>
                <w:highlight w:val="none"/>
                <w:shd w:val="clear" w:fill="auto"/>
              </w:rPr>
              <w:t>长5300*宽600*高2400（高度可调整结构）</w:t>
            </w:r>
          </w:p>
          <w:p>
            <w:pPr>
              <w:widowControl/>
              <w:numPr>
                <w:ilvl w:val="-1"/>
                <w:numId w:val="0"/>
              </w:numPr>
              <w:spacing w:line="360" w:lineRule="auto"/>
              <w:jc w:val="center"/>
              <w:rPr>
                <w:rFonts w:hint="eastAsia" w:ascii="宋体" w:hAnsi="宋体" w:eastAsia="宋体" w:cs="宋体"/>
                <w:b w:val="0"/>
                <w:bCs w:val="0"/>
                <w:i w:val="0"/>
                <w:iCs w:val="0"/>
                <w:caps w:val="0"/>
                <w:color w:val="000000" w:themeColor="text1"/>
                <w:spacing w:val="0"/>
                <w:sz w:val="21"/>
                <w:szCs w:val="21"/>
                <w:highlight w:val="none"/>
                <w:shd w:val="clear"/>
                <w:lang w:val="en-US"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sz w:val="21"/>
                <w:szCs w:val="21"/>
                <w:highlight w:val="none"/>
                <w:shd w:val="clear"/>
                <w:lang w:eastAsia="zh-CN"/>
                <w14:textFill>
                  <w14:solidFill>
                    <w14:schemeClr w14:val="tx1"/>
                  </w14:solidFill>
                </w14:textFill>
              </w:rPr>
              <w:t>变频器控无极调速</w:t>
            </w:r>
          </w:p>
        </w:tc>
      </w:tr>
    </w:tbl>
    <w:p>
      <w:pPr>
        <w:widowControl/>
        <w:numPr>
          <w:ilvl w:val="-1"/>
          <w:numId w:val="0"/>
        </w:numPr>
        <w:spacing w:line="360" w:lineRule="auto"/>
        <w:jc w:val="left"/>
        <w:rPr>
          <w:rFonts w:hint="eastAsia" w:ascii="宋体" w:hAnsi="宋体" w:eastAsia="宋体" w:cs="宋体"/>
          <w:b/>
          <w:color w:val="000000" w:themeColor="text1"/>
          <w:sz w:val="21"/>
          <w:szCs w:val="21"/>
          <w:highlight w:val="none"/>
          <w:lang w:val="en-US" w:eastAsia="zh-CN"/>
          <w14:textFill>
            <w14:solidFill>
              <w14:schemeClr w14:val="tx1"/>
            </w14:solidFill>
          </w14:textFill>
        </w:rPr>
      </w:pPr>
    </w:p>
    <w:p>
      <w:pPr>
        <w:widowControl/>
        <w:numPr>
          <w:ilvl w:val="-1"/>
          <w:numId w:val="0"/>
        </w:numPr>
        <w:spacing w:line="360" w:lineRule="auto"/>
        <w:ind w:firstLine="420" w:firstLineChars="200"/>
        <w:jc w:val="left"/>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以上参数、品牌要求仅供参考，投标人可根据自身实际情况提供相关服务，但技术参数不得低于以上要求。</w:t>
      </w:r>
    </w:p>
    <w:p>
      <w:pPr>
        <w:pStyle w:val="3"/>
        <w:numPr>
          <w:ilvl w:val="0"/>
          <w:numId w:val="60"/>
        </w:numPr>
        <w:ind w:firstLine="420" w:firstLineChars="0"/>
        <w:rPr>
          <w:rFonts w:hint="eastAsia" w:ascii="宋体" w:hAnsi="宋体" w:eastAsia="宋体" w:cs="宋体"/>
          <w:b/>
          <w:bCs/>
          <w:sz w:val="32"/>
          <w:szCs w:val="32"/>
          <w:lang w:val="en-US" w:eastAsia="zh-CN"/>
        </w:rPr>
      </w:pPr>
      <w:bookmarkStart w:id="263" w:name="_Toc10244"/>
      <w:bookmarkStart w:id="264" w:name="_Toc15892"/>
      <w:bookmarkStart w:id="265" w:name="_Toc32180"/>
      <w:bookmarkStart w:id="266" w:name="_Toc31256"/>
      <w:r>
        <w:rPr>
          <w:rFonts w:hint="eastAsia" w:ascii="宋体" w:hAnsi="宋体" w:eastAsia="宋体" w:cs="宋体"/>
          <w:b/>
          <w:bCs/>
          <w:sz w:val="32"/>
          <w:szCs w:val="32"/>
          <w:lang w:val="en-US" w:eastAsia="zh-CN"/>
        </w:rPr>
        <w:t>商务要求</w:t>
      </w:r>
      <w:bookmarkEnd w:id="263"/>
      <w:bookmarkEnd w:id="264"/>
      <w:bookmarkEnd w:id="265"/>
      <w:bookmarkEnd w:id="266"/>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交货周期：</w:t>
      </w:r>
      <w:r>
        <w:rPr>
          <w:rFonts w:hint="default" w:ascii="宋体" w:hAnsi="宋体" w:eastAsia="宋体" w:cs="宋体"/>
          <w:b/>
          <w:color w:val="000000" w:themeColor="text1"/>
          <w:sz w:val="21"/>
          <w:szCs w:val="21"/>
          <w:lang w:val="en-US" w:eastAsia="zh-CN"/>
          <w14:textFill>
            <w14:solidFill>
              <w14:schemeClr w14:val="tx1"/>
            </w14:solidFill>
          </w14:textFill>
        </w:rPr>
        <w:t>合同签订后90个工作日内</w:t>
      </w:r>
      <w:r>
        <w:rPr>
          <w:rFonts w:hint="eastAsia" w:ascii="宋体" w:hAnsi="宋体" w:eastAsia="宋体" w:cs="宋体"/>
          <w:b/>
          <w:color w:val="000000" w:themeColor="text1"/>
          <w:sz w:val="21"/>
          <w:szCs w:val="21"/>
          <w:lang w:val="en-US" w:eastAsia="zh-CN"/>
          <w14:textFill>
            <w14:solidFill>
              <w14:schemeClr w14:val="tx1"/>
            </w14:solidFill>
          </w14:textFill>
        </w:rPr>
        <w:t>。</w:t>
      </w:r>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质量要求及保证条款</w:t>
      </w:r>
    </w:p>
    <w:p>
      <w:pPr>
        <w:widowControl/>
        <w:numPr>
          <w:ilvl w:val="0"/>
          <w:numId w:val="62"/>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投标人承揽的设备，应符合双方约定的技术协议的要求，详见附件《技术协议》。</w:t>
      </w:r>
    </w:p>
    <w:p>
      <w:pPr>
        <w:widowControl/>
        <w:numPr>
          <w:ilvl w:val="0"/>
          <w:numId w:val="62"/>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双方应按照技术协议及产品图纸的要求供货及安装调试；如果双方未对质量要求和技术标准做出约定或者约定不明确的，应按照国家或行业有关标准执行；没有国家或行业标准的，应依照合同项下设备使用的目的，产品应确保招标人能正常使用。</w:t>
      </w:r>
    </w:p>
    <w:p>
      <w:pPr>
        <w:widowControl/>
        <w:numPr>
          <w:ilvl w:val="0"/>
          <w:numId w:val="62"/>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应按照合同约定的质量及技术标准选用原材料，原材料的选材应达到国家标准；技术协议所列产品主体要件，投标人应按照双方约定的品牌自行生产或购买。对于非投标人所有知识产权的货物，投标人有义务提供给招标人正规渠道证明。</w:t>
      </w:r>
    </w:p>
    <w:p>
      <w:pPr>
        <w:widowControl/>
        <w:numPr>
          <w:ilvl w:val="0"/>
          <w:numId w:val="62"/>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投标人对设计、制造、装配、安装、调试过程中出现的质量问题全部承担责任。</w:t>
      </w:r>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运输方式及费用负担：投标人应确保设备安全及时运到招标人指定地安装调试，投标人应保证设备包装、运输等各方面的安全，投标人可自行决定运输方式，运输过程中的一切费用、风险由投标人承担。</w:t>
      </w:r>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项目进度及交货地点</w:t>
      </w:r>
    </w:p>
    <w:p>
      <w:pPr>
        <w:widowControl/>
        <w:numPr>
          <w:ilvl w:val="0"/>
          <w:numId w:val="63"/>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投标人保证合同下的设备交货时间前一周或投标人提供的设备提前完成符合初验收条件后通知招标人对设备初验收，初验收合格后设备发送至招标人指定地点交货；</w:t>
      </w:r>
    </w:p>
    <w:p>
      <w:pPr>
        <w:widowControl/>
        <w:numPr>
          <w:ilvl w:val="0"/>
          <w:numId w:val="63"/>
        </w:numPr>
        <w:spacing w:line="360" w:lineRule="auto"/>
        <w:ind w:firstLine="420" w:firstLineChars="200"/>
        <w:jc w:val="both"/>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交货地点</w:t>
      </w:r>
      <w:r>
        <w:rPr>
          <w:rFonts w:hint="eastAsia" w:ascii="宋体" w:hAnsi="宋体" w:eastAsia="宋体" w:cs="宋体"/>
          <w:b/>
          <w:color w:val="000000" w:themeColor="text1"/>
          <w:sz w:val="21"/>
          <w:szCs w:val="21"/>
          <w:highlight w:val="none"/>
          <w:lang w:val="en-US" w:eastAsia="zh-CN"/>
          <w14:textFill>
            <w14:solidFill>
              <w14:schemeClr w14:val="tx1"/>
            </w14:solidFill>
          </w14:textFill>
        </w:rPr>
        <w:t>：广东省清远市佛冈县龙山镇学田管理区广东亿利达风机有限公司。</w:t>
      </w:r>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安装、验收标准及异议</w:t>
      </w:r>
    </w:p>
    <w:p>
      <w:pPr>
        <w:widowControl/>
        <w:numPr>
          <w:ilvl w:val="0"/>
          <w:numId w:val="64"/>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将设备运抵安装地后，招标人在经初步外观查看确认设备外观无破损等问题的情况下，投标人负责卸车。投标人负责合同项下设备的安装和调试，安装期为设备送抵招标人指定地点后10日，调试期为设备安装后30日。</w:t>
      </w:r>
    </w:p>
    <w:p>
      <w:pPr>
        <w:widowControl/>
        <w:numPr>
          <w:ilvl w:val="0"/>
          <w:numId w:val="64"/>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调试期满后，由投标人书面提出设备终验收申请，由招标人组织终验收。设备终验收后，甲、乙双方终验收后签署验收报告并载明验收意见（对招标人而言，验收合格报告需加盖公章后方生效）。终验收不合格的，招标人有权要求退货。</w:t>
      </w:r>
    </w:p>
    <w:p>
      <w:pPr>
        <w:widowControl/>
        <w:numPr>
          <w:ilvl w:val="0"/>
          <w:numId w:val="64"/>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设备终验收依据国家、行业有关标准、技术协议、招标人提供的图纸和双方签订的技术协议等，当上述标准不一致时，以最高技术要求为准；验收时双方对条款有不同理解的，由招标人授权代表负责解释，只要该解释未与国家标准及行业标准相冲突，则视为有效。</w:t>
      </w:r>
    </w:p>
    <w:p>
      <w:pPr>
        <w:widowControl/>
        <w:numPr>
          <w:ilvl w:val="0"/>
          <w:numId w:val="64"/>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对设备质量发生争议时，双方同意聘请招标人所在地的质量检验部门进行检验，鉴定等相关费用由投标人先行垫付，事后根据检验结果确定由过错方承担。如投标人不承担相关鉴定等费用，即可认定投标人交付的设备存在质量问题。</w:t>
      </w:r>
    </w:p>
    <w:p>
      <w:pPr>
        <w:widowControl/>
        <w:numPr>
          <w:ilvl w:val="0"/>
          <w:numId w:val="64"/>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投标人在招标人施工期间，安装和调试所需的各种设备、工具等由投标人自理；施工中所需的电、气（空压机生产的气）、水源、行车（工厂现有的）等工具招标人可以配合提供。</w:t>
      </w:r>
    </w:p>
    <w:p>
      <w:pPr>
        <w:widowControl/>
        <w:numPr>
          <w:ilvl w:val="0"/>
          <w:numId w:val="64"/>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合同项下设备终验收后应签署终验收报告，如存在遗留问题，经双方协商确认后投标人应限期解决。在遗留问题解决之前，投标人同意招标人可适当使用该设备，但招标人使用该设备不代表合同设备终验收合格。</w:t>
      </w:r>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项目的付款方式</w:t>
      </w:r>
    </w:p>
    <w:p>
      <w:pPr>
        <w:widowControl/>
        <w:numPr>
          <w:ilvl w:val="0"/>
          <w:numId w:val="65"/>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招标人仅就合同总金额及支付方式对投标人负责。</w:t>
      </w:r>
    </w:p>
    <w:p>
      <w:pPr>
        <w:widowControl/>
        <w:numPr>
          <w:ilvl w:val="0"/>
          <w:numId w:val="65"/>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合同签订后，招标人应在 15 个工作日内向投标人支付合同总价30%的首付款。</w:t>
      </w:r>
    </w:p>
    <w:p>
      <w:pPr>
        <w:widowControl/>
        <w:numPr>
          <w:ilvl w:val="0"/>
          <w:numId w:val="65"/>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设备发运前经招标人初验收合格且甲乙双方在初验收报告上签字确认后，招标人应在发货前15个工作日内向投标人支付合同总价30%的进度款。</w:t>
      </w:r>
    </w:p>
    <w:p>
      <w:pPr>
        <w:widowControl/>
        <w:numPr>
          <w:ilvl w:val="0"/>
          <w:numId w:val="65"/>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全部设备安装调试完成后双方按技术协议条款和《设备检验标准》验收，双方在安装调试单上签字并加盖公章视为完成终验收，终验收为合格且设备正常运行后15个工作日，招标人向投标人支付合同总价30%的进度款。</w:t>
      </w:r>
    </w:p>
    <w:p>
      <w:pPr>
        <w:widowControl/>
        <w:numPr>
          <w:ilvl w:val="0"/>
          <w:numId w:val="65"/>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剩余合同总价10%的款项为质保金，自终验收合格之日起满两年后，如无质量问题无息全款付清。</w:t>
      </w:r>
    </w:p>
    <w:p>
      <w:pPr>
        <w:widowControl/>
        <w:numPr>
          <w:ilvl w:val="0"/>
          <w:numId w:val="65"/>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在招标人每次付款前，投标人应先开具相关金额的税率为13%增值税发票；招标人付至合同总价90%的款项时，投标人应开具完合同全额发票；若投标人未按前述约定开具发票的，招标人有权拒绝付款并不承担逾期付款的责任。</w:t>
      </w:r>
    </w:p>
    <w:p>
      <w:pPr>
        <w:widowControl/>
        <w:numPr>
          <w:ilvl w:val="0"/>
          <w:numId w:val="61"/>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售后服务及保证</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合同项下设备终验收合格后  24  个月为设备的质量保证期（以下简称“质保期”），投标人承诺对设备提供终身维修保养。</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质保期内，投标人在接到招标人关于设备存在质量问题的通知后4小时内应有回复；应招标人要求，投标人应在24小时内派人上门免费提供服务。期间一切费用由投标人自行承担。在质保期内由于操作不当或人为损坏招标人承担成本费用。</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质保期满后，投标人承诺在接到招标人故障通知后24小时内派人现场处理，并提供有效的解决方案，投标人承诺只收取服务费及配件成本费。</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投标人应负责对招标人的操作人员、设备维修人员提供技术培训服务，直至招标人操作人员、设备管理人员能正确操作、使用、常规维护、保养设备为止。</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设备在运行中发生故障的，如在电话、传真或电子邮件发出后4小时后不见回复，视作投标人自愿承担招标人的一切损失。</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投标人承诺向招标人提供设备程序的终身日常维护，包括但不限于程序升级服务或按照招标人要求提供程序远程修改服务，维护只收取配件成本费用。</w:t>
      </w:r>
    </w:p>
    <w:p>
      <w:pPr>
        <w:widowControl/>
        <w:numPr>
          <w:ilvl w:val="0"/>
          <w:numId w:val="66"/>
        </w:numPr>
        <w:spacing w:line="360" w:lineRule="auto"/>
        <w:ind w:firstLine="420" w:firstLineChars="200"/>
        <w:jc w:val="both"/>
        <w:rPr>
          <w:rFonts w:hint="eastAsia" w:ascii="宋体" w:hAnsi="宋体" w:eastAsia="宋体" w:cs="宋体"/>
          <w:b/>
          <w:color w:val="000000" w:themeColor="text1"/>
          <w:sz w:val="21"/>
          <w:szCs w:val="21"/>
          <w:lang w:val="en-US"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投标人保证，在任何情况下，投标人不得擅自对设备设置锁机并采取锁机等行为，否则应当赔偿由此给招标人造成的全部直接及间接损失。</w:t>
      </w:r>
    </w:p>
    <w:p>
      <w:pPr>
        <w:widowControl/>
        <w:jc w:val="center"/>
        <w:rPr>
          <w:rFonts w:hint="eastAsia" w:ascii="EYInterstate Light" w:hAnsi="EYInterstate Light"/>
          <w:b/>
          <w:color w:val="000000" w:themeColor="text1"/>
          <w:sz w:val="32"/>
          <w:szCs w:val="32"/>
          <w14:textFill>
            <w14:solidFill>
              <w14:schemeClr w14:val="tx1"/>
            </w14:solidFill>
          </w14:textFill>
        </w:rPr>
      </w:pPr>
    </w:p>
    <w:p>
      <w:pPr>
        <w:rPr>
          <w:rFonts w:hint="eastAsia"/>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bookmarkStart w:id="267" w:name="_Toc20138"/>
      <w:bookmarkStart w:id="268" w:name="_Toc28181"/>
      <w:bookmarkStart w:id="269" w:name="_Toc7678"/>
    </w:p>
    <w:p>
      <w:pPr>
        <w:rPr>
          <w:rFonts w:hint="eastAsia"/>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2"/>
        <w:bidi w:val="0"/>
        <w:jc w:val="center"/>
      </w:pPr>
      <w:bookmarkStart w:id="270" w:name="_Toc26852"/>
      <w:bookmarkStart w:id="271" w:name="_Toc22111"/>
      <w:bookmarkStart w:id="272" w:name="_Toc12196"/>
      <w:bookmarkStart w:id="273" w:name="_Toc8093"/>
      <w:bookmarkStart w:id="274" w:name="_Toc23655"/>
      <w:r>
        <w:rPr>
          <w:rFonts w:hint="eastAsia"/>
        </w:rPr>
        <w:t>第五章  评标办法</w:t>
      </w:r>
      <w:bookmarkEnd w:id="253"/>
      <w:bookmarkEnd w:id="254"/>
      <w:bookmarkEnd w:id="267"/>
      <w:bookmarkEnd w:id="268"/>
      <w:bookmarkEnd w:id="269"/>
      <w:bookmarkEnd w:id="270"/>
      <w:bookmarkEnd w:id="271"/>
      <w:bookmarkEnd w:id="272"/>
      <w:bookmarkEnd w:id="273"/>
      <w:bookmarkEnd w:id="274"/>
    </w:p>
    <w:p>
      <w:pPr>
        <w:pageBreakBefore w:val="0"/>
        <w:tabs>
          <w:tab w:val="left" w:pos="735"/>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根据《中华人民共和国招标投标法》、《中华人民共和国招标投标法实施条例》等有关规定，结合本项目的实际情况，按照公平、公正、科学、择优的原则，制定本评标办法。</w:t>
      </w:r>
    </w:p>
    <w:p>
      <w:pPr>
        <w:pStyle w:val="3"/>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275" w:name="_Toc15631"/>
      <w:bookmarkStart w:id="276" w:name="_Toc19284"/>
      <w:bookmarkStart w:id="277" w:name="_Toc8475"/>
      <w:bookmarkStart w:id="278" w:name="_Toc534142820"/>
      <w:bookmarkStart w:id="279" w:name="_Toc465176632"/>
      <w:bookmarkStart w:id="280" w:name="_Toc2802"/>
      <w:bookmarkStart w:id="281" w:name="_Toc12200"/>
      <w:bookmarkStart w:id="282" w:name="_Toc330910204"/>
      <w:bookmarkStart w:id="283" w:name="_Toc26311"/>
      <w:bookmarkStart w:id="284" w:name="_Toc18348"/>
      <w:bookmarkStart w:id="285" w:name="_Toc6887"/>
      <w:r>
        <w:rPr>
          <w:rFonts w:hint="eastAsia" w:ascii="宋体" w:hAnsi="宋体" w:cs="宋体"/>
        </w:rPr>
        <w:t>一、总则</w:t>
      </w:r>
      <w:bookmarkEnd w:id="275"/>
      <w:bookmarkEnd w:id="276"/>
      <w:bookmarkEnd w:id="277"/>
      <w:bookmarkEnd w:id="278"/>
      <w:bookmarkEnd w:id="279"/>
      <w:bookmarkEnd w:id="280"/>
      <w:bookmarkEnd w:id="281"/>
      <w:bookmarkEnd w:id="282"/>
      <w:bookmarkEnd w:id="283"/>
      <w:bookmarkEnd w:id="284"/>
      <w:bookmarkEnd w:id="285"/>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pStyle w:val="3"/>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286" w:name="_Toc32105"/>
      <w:bookmarkStart w:id="287" w:name="_Toc26828"/>
      <w:bookmarkStart w:id="288" w:name="_Toc6345"/>
      <w:bookmarkStart w:id="289" w:name="_Toc15944"/>
      <w:bookmarkStart w:id="290" w:name="_Toc2603"/>
      <w:bookmarkStart w:id="291" w:name="_Toc330910205"/>
      <w:bookmarkStart w:id="292" w:name="_Toc465176633"/>
      <w:bookmarkStart w:id="293" w:name="_Toc24871"/>
      <w:bookmarkStart w:id="294" w:name="_Toc23948"/>
      <w:bookmarkStart w:id="295" w:name="_Toc534142821"/>
      <w:bookmarkStart w:id="296" w:name="_Toc21710"/>
      <w:r>
        <w:rPr>
          <w:rFonts w:hint="eastAsia" w:ascii="宋体" w:hAnsi="宋体" w:cs="宋体"/>
        </w:rPr>
        <w:t>二、评标组织</w:t>
      </w:r>
      <w:bookmarkEnd w:id="286"/>
      <w:bookmarkEnd w:id="287"/>
      <w:bookmarkEnd w:id="288"/>
      <w:bookmarkEnd w:id="289"/>
      <w:bookmarkEnd w:id="290"/>
      <w:bookmarkEnd w:id="291"/>
      <w:bookmarkEnd w:id="292"/>
      <w:bookmarkEnd w:id="293"/>
      <w:bookmarkEnd w:id="294"/>
      <w:bookmarkEnd w:id="295"/>
      <w:bookmarkEnd w:id="296"/>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评标工作由招标单位负责组织，依法组建由奇数的人员组成的评标委员会，负责对投标文件进行审查、质询、评审等。评标委员会由招标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组建。</w:t>
      </w:r>
    </w:p>
    <w:p>
      <w:pPr>
        <w:pStyle w:val="3"/>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297" w:name="_Toc1796"/>
      <w:bookmarkStart w:id="298" w:name="_Toc2280"/>
      <w:bookmarkStart w:id="299" w:name="_Toc534142822"/>
      <w:bookmarkStart w:id="300" w:name="_Toc14676"/>
      <w:bookmarkStart w:id="301" w:name="_Toc465176634"/>
      <w:bookmarkStart w:id="302" w:name="_Toc10242"/>
      <w:bookmarkStart w:id="303" w:name="_Toc19737"/>
      <w:bookmarkStart w:id="304" w:name="_Toc330910206"/>
      <w:bookmarkStart w:id="305" w:name="_Toc28601"/>
      <w:bookmarkStart w:id="306" w:name="_Toc22569"/>
      <w:bookmarkStart w:id="307" w:name="_Toc5587"/>
      <w:r>
        <w:rPr>
          <w:rFonts w:hint="eastAsia" w:ascii="宋体" w:hAnsi="宋体" w:cs="宋体"/>
        </w:rPr>
        <w:t>三、评标纪律</w:t>
      </w:r>
      <w:bookmarkEnd w:id="297"/>
      <w:bookmarkEnd w:id="298"/>
      <w:bookmarkEnd w:id="299"/>
      <w:bookmarkEnd w:id="300"/>
      <w:bookmarkEnd w:id="301"/>
      <w:bookmarkEnd w:id="302"/>
      <w:bookmarkEnd w:id="303"/>
      <w:bookmarkEnd w:id="304"/>
      <w:bookmarkEnd w:id="305"/>
      <w:bookmarkEnd w:id="306"/>
      <w:bookmarkEnd w:id="307"/>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1．评标是招标工作的重要环节，评标工作在评标委员会内独立进行。评标委员会将按照评标原则的要求，公正、平等地对待所有投标人。</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2．所有评标人员应忠于职守、廉洁自律、秉公办事、不徇私情。</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3．评标人员不得接受或参加投标人或与投标有关的单位、组织或个人的有碍公务的宴请、娱乐活动等，不得以任何形式弄虚作假。</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4．评标期间，评标人员不得临时变更人员，随意出入评标地点、与外界通讯、会客等。</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5．在投标文件的审查、澄清、评价和比较以及授予合同的过程中，投标人对招标人及评标委员会成员施加影响的任何行为，都将导致被取消投标资格。</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6．为保证评标的公正性，在评标过程中，评标委员会成员不得与投标人或与中标结果有利害关系的人进行私下接触。在评标工作结束后，凡与评标情况有接触的任何人，不得将评标情况扩散出评标委员会以外。</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7．评标过程中，当发表结论性意见时，先听取其他评委意见，用户评委随后发表意见</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评委对投标人的优劣情况，以及认为差异较大的情况等，应以书面意见做出真实、专业、诚恳负责的表述，不得违背客观、公正的原则。</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8．评标结束后，各评标人员应将全部资料整理上交招标人，严禁将评标过程中的任何资料带出评标现场向投标人或其他单位提供。</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9．在中标结果公布前应对评标委员会成员名单予以保密。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10．评标委员会对各投标人的商业秘密予以保密。</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11．评标委员会成员应当客观、公正地履行职责，遵守职业道德，对所提出的评审意见承担个人责任。</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12．在整个评标过程中，投标人企图影响招标结果的任何活动，可能导致其投标失败。如有违法行为，将依法追究其法律责任。</w:t>
      </w:r>
    </w:p>
    <w:p>
      <w:pPr>
        <w:pStyle w:val="3"/>
        <w:pageBreakBefore w:val="0"/>
        <w:widowControl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308" w:name="_Toc465176635"/>
      <w:bookmarkStart w:id="309" w:name="_Toc330910207"/>
      <w:bookmarkStart w:id="310" w:name="_Toc24632"/>
      <w:bookmarkStart w:id="311" w:name="_Toc28982"/>
      <w:bookmarkStart w:id="312" w:name="_Toc27929"/>
      <w:bookmarkStart w:id="313" w:name="_Toc534142823"/>
      <w:bookmarkStart w:id="314" w:name="_Toc12189"/>
      <w:bookmarkStart w:id="315" w:name="_Toc16375"/>
      <w:bookmarkStart w:id="316" w:name="_Toc14692"/>
      <w:bookmarkStart w:id="317" w:name="_Toc20957"/>
      <w:bookmarkStart w:id="318" w:name="_Toc22980"/>
      <w:r>
        <w:rPr>
          <w:rFonts w:hint="eastAsia" w:ascii="宋体" w:hAnsi="宋体" w:cs="宋体"/>
        </w:rPr>
        <w:t>四、评标程序</w:t>
      </w:r>
      <w:bookmarkEnd w:id="308"/>
      <w:bookmarkEnd w:id="309"/>
      <w:bookmarkEnd w:id="310"/>
      <w:bookmarkEnd w:id="311"/>
      <w:bookmarkEnd w:id="312"/>
      <w:bookmarkEnd w:id="313"/>
      <w:bookmarkEnd w:id="314"/>
      <w:bookmarkEnd w:id="315"/>
      <w:bookmarkEnd w:id="316"/>
      <w:bookmarkEnd w:id="317"/>
      <w:bookmarkEnd w:id="318"/>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1．本项目采用不公开方式评标，评标的依据为招标文件和投标文件。</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2．熟悉招标文件和评标办法。</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3．招标</w:t>
      </w:r>
      <w:r>
        <w:rPr>
          <w:rFonts w:hint="eastAsia" w:ascii="宋体" w:hAnsi="宋体" w:eastAsia="宋体" w:cs="宋体"/>
          <w:color w:val="000000" w:themeColor="text1"/>
          <w:szCs w:val="21"/>
          <w:lang w:val="en-US" w:eastAsia="zh-CN"/>
          <w14:textFill>
            <w14:solidFill>
              <w14:schemeClr w14:val="tx1"/>
            </w14:solidFill>
          </w14:textFill>
        </w:rPr>
        <w:t>单位</w:t>
      </w:r>
      <w:r>
        <w:rPr>
          <w:rFonts w:hint="eastAsia" w:ascii="宋体" w:hAnsi="宋体" w:eastAsia="宋体" w:cs="宋体"/>
          <w:color w:val="000000" w:themeColor="text1"/>
          <w:szCs w:val="21"/>
          <w14:textFill>
            <w14:solidFill>
              <w14:schemeClr w14:val="tx1"/>
            </w14:solidFill>
          </w14:textFill>
        </w:rPr>
        <w:t>按照招标文件规定的时间、地点及程序组织评审。评审程序如下：</w:t>
      </w:r>
    </w:p>
    <w:p>
      <w:pPr>
        <w:pageBreakBefore w:val="0"/>
        <w:widowControl w:val="0"/>
        <w:numPr>
          <w:ilvl w:val="1"/>
          <w:numId w:val="67"/>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开启评审场地的录音录像采集设备</w:t>
      </w:r>
      <w:r>
        <w:rPr>
          <w:rFonts w:hint="eastAsia" w:ascii="宋体" w:hAnsi="宋体" w:eastAsia="宋体" w:cs="宋体"/>
          <w:b/>
          <w:color w:val="000000" w:themeColor="text1"/>
          <w:szCs w:val="21"/>
          <w14:textFill>
            <w14:solidFill>
              <w14:schemeClr w14:val="tx1"/>
            </w14:solidFill>
          </w14:textFill>
        </w:rPr>
        <w:t>（如有）</w:t>
      </w:r>
      <w:r>
        <w:rPr>
          <w:rFonts w:hint="eastAsia" w:ascii="宋体" w:hAnsi="宋体" w:eastAsia="宋体" w:cs="宋体"/>
          <w:color w:val="000000" w:themeColor="text1"/>
          <w:szCs w:val="21"/>
          <w14:textFill>
            <w14:solidFill>
              <w14:schemeClr w14:val="tx1"/>
            </w14:solidFill>
          </w14:textFill>
        </w:rPr>
        <w:t>，并确保其正常运行。</w:t>
      </w:r>
    </w:p>
    <w:p>
      <w:pPr>
        <w:pageBreakBefore w:val="0"/>
        <w:widowControl w:val="0"/>
        <w:numPr>
          <w:ilvl w:val="1"/>
          <w:numId w:val="67"/>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核验出席评审活动现场的评审小组各成员和相关</w:t>
      </w:r>
      <w:r>
        <w:rPr>
          <w:rFonts w:hint="eastAsia" w:ascii="宋体" w:hAnsi="宋体" w:eastAsia="宋体" w:cs="宋体"/>
          <w:color w:val="000000" w:themeColor="text1"/>
          <w:szCs w:val="21"/>
          <w:lang w:val="en-US" w:eastAsia="zh-CN"/>
          <w14:textFill>
            <w14:solidFill>
              <w14:schemeClr w14:val="tx1"/>
            </w14:solidFill>
          </w14:textFill>
        </w:rPr>
        <w:t>纪律检查室</w:t>
      </w:r>
      <w:r>
        <w:rPr>
          <w:rFonts w:hint="eastAsia" w:ascii="宋体" w:hAnsi="宋体" w:eastAsia="宋体" w:cs="宋体"/>
          <w:color w:val="000000" w:themeColor="text1"/>
          <w:szCs w:val="21"/>
          <w14:textFill>
            <w14:solidFill>
              <w14:schemeClr w14:val="tx1"/>
            </w14:solidFill>
          </w14:textFill>
        </w:rPr>
        <w:t>人员身份，并要求其分别登记、签到，按规定统一收缴、保存其通讯工具，无关人员一律拒绝其进入评审现场。</w:t>
      </w:r>
    </w:p>
    <w:p>
      <w:pPr>
        <w:pageBreakBefore w:val="0"/>
        <w:widowControl w:val="0"/>
        <w:numPr>
          <w:ilvl w:val="1"/>
          <w:numId w:val="67"/>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介绍评审现场的人员情况，宣布评审工作纪律，告知评审人员应当回避情形；组织推选评审小组组长。</w:t>
      </w:r>
    </w:p>
    <w:p>
      <w:pPr>
        <w:pageBreakBefore w:val="0"/>
        <w:widowControl w:val="0"/>
        <w:numPr>
          <w:ilvl w:val="1"/>
          <w:numId w:val="67"/>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通报报名参加本项目招标的投标人名单及资格预审情况（如有），宣读最终提交投标人的投标人名单，组织评审小组各位成员签订《评审人员廉洁自律承诺书》。</w:t>
      </w:r>
    </w:p>
    <w:p>
      <w:pPr>
        <w:pageBreakBefore w:val="0"/>
        <w:widowControl w:val="0"/>
        <w:numPr>
          <w:ilvl w:val="1"/>
          <w:numId w:val="67"/>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根据需要简要介绍招标文件（含补充文件）制定及异议答复情况、按书面陈述项目基本情况及评审工作需注意事项等。</w:t>
      </w:r>
    </w:p>
    <w:p>
      <w:pPr>
        <w:pageBreakBefore w:val="0"/>
        <w:widowControl w:val="0"/>
        <w:numPr>
          <w:ilvl w:val="1"/>
          <w:numId w:val="67"/>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评审小组组长组织评审人员按照以下程序评审：</w:t>
      </w:r>
    </w:p>
    <w:p>
      <w:pPr>
        <w:keepNext w:val="0"/>
        <w:keepLines w:val="0"/>
        <w:pageBreakBefore w:val="0"/>
        <w:widowControl w:val="0"/>
        <w:numPr>
          <w:ilvl w:val="0"/>
          <w:numId w:val="68"/>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资格性审查（详见投标人须知）</w:t>
      </w:r>
    </w:p>
    <w:p>
      <w:pPr>
        <w:keepNext w:val="0"/>
        <w:keepLines w:val="0"/>
        <w:pageBreakBefore w:val="0"/>
        <w:widowControl w:val="0"/>
        <w:numPr>
          <w:ilvl w:val="0"/>
          <w:numId w:val="68"/>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符合性审查</w:t>
      </w:r>
      <w:r>
        <w:rPr>
          <w:rFonts w:hint="eastAsia" w:ascii="宋体" w:hAnsi="宋体" w:eastAsia="宋体" w:cs="宋体"/>
          <w:b/>
          <w:color w:val="000000" w:themeColor="text1"/>
          <w:szCs w:val="21"/>
          <w14:textFill>
            <w14:solidFill>
              <w14:schemeClr w14:val="tx1"/>
            </w14:solidFill>
          </w14:textFill>
        </w:rPr>
        <w:t>（详见投标人须知）</w:t>
      </w:r>
    </w:p>
    <w:p>
      <w:pPr>
        <w:pageBreakBefore w:val="0"/>
        <w:widowControl w:val="0"/>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评审小组对拟认定为投标人无效、投标人资格不符合的，应组织相关投标人代表进行陈述、澄清或申辩。“陈述、澄清或申辩”将通过以下方式进行：</w:t>
      </w:r>
    </w:p>
    <w:p>
      <w:pPr>
        <w:pageBreakBefore w:val="0"/>
        <w:widowControl w:val="0"/>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按照招标公告</w:t>
      </w:r>
      <w:r>
        <w:rPr>
          <w:rFonts w:hint="eastAsia" w:ascii="宋体" w:hAnsi="宋体" w:eastAsia="宋体" w:cs="宋体"/>
          <w:b/>
          <w:snapToGrid w:val="0"/>
          <w:color w:val="000000" w:themeColor="text1"/>
          <w:kern w:val="0"/>
          <w:szCs w:val="21"/>
          <w14:textFill>
            <w14:solidFill>
              <w14:schemeClr w14:val="tx1"/>
            </w14:solidFill>
          </w14:textFill>
        </w:rPr>
        <w:t>授权代表对澄清、说明或者补正内容未签字确认的，将自行承担由此可能导致的对其不利的评审结果，评标委员会按少数服从多数原则对相关内容进行评判。</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keepNext w:val="0"/>
        <w:keepLines w:val="0"/>
        <w:pageBreakBefore w:val="0"/>
        <w:widowControl w:val="0"/>
        <w:numPr>
          <w:ilvl w:val="0"/>
          <w:numId w:val="68"/>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详细评审（详见五、评标细则及标准）</w:t>
      </w:r>
    </w:p>
    <w:p>
      <w:pPr>
        <w:pageBreakBefore w:val="0"/>
        <w:widowControl w:val="0"/>
        <w:numPr>
          <w:ilvl w:val="0"/>
          <w:numId w:val="69"/>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评审小组根据评审汇总情况和招标文件规定确定中标（成交）候选投标人排序名单。</w:t>
      </w:r>
    </w:p>
    <w:p>
      <w:pPr>
        <w:pageBreakBefore w:val="0"/>
        <w:widowControl w:val="0"/>
        <w:numPr>
          <w:ilvl w:val="0"/>
          <w:numId w:val="69"/>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起草评审报告，所有评审人员须在评审报告上签字确认。</w:t>
      </w:r>
    </w:p>
    <w:p>
      <w:pPr>
        <w:pageBreakBefore w:val="0"/>
        <w:widowControl w:val="0"/>
        <w:numPr>
          <w:ilvl w:val="0"/>
          <w:numId w:val="69"/>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人员对有关招标文件、投标文件、样品（如有）、现场演示（如有）的说明、解释、要求、标准存在不同意见的，持不同意见的评审人员及其意见或理由应予以完整记录，并在评审过程中按照少数服从多数的原则表决执行。对招标文件本身不明确或存在歧义、矛盾的内容，应作对投标人而非招标人有利的解释；对因招标文件中有关产品技术参数需求表述不清导致投标人实质性响应不一致时，应终止评审，重新组织招标。评审人员拒绝在评审报告中签字又不说明其不同意见或理由的，由现场</w:t>
      </w:r>
      <w:r>
        <w:rPr>
          <w:rFonts w:hint="eastAsia" w:ascii="宋体" w:hAnsi="宋体" w:eastAsia="宋体" w:cs="宋体"/>
          <w:color w:val="000000" w:themeColor="text1"/>
          <w:szCs w:val="21"/>
          <w:lang w:val="en-US" w:eastAsia="zh-CN"/>
          <w14:textFill>
            <w14:solidFill>
              <w14:schemeClr w14:val="tx1"/>
            </w14:solidFill>
          </w14:textFill>
        </w:rPr>
        <w:t>纪律检查人</w:t>
      </w:r>
      <w:r>
        <w:rPr>
          <w:rFonts w:hint="eastAsia" w:ascii="宋体" w:hAnsi="宋体" w:eastAsia="宋体" w:cs="宋体"/>
          <w:color w:val="000000" w:themeColor="text1"/>
          <w:szCs w:val="21"/>
          <w14:textFill>
            <w14:solidFill>
              <w14:schemeClr w14:val="tx1"/>
            </w14:solidFill>
          </w14:textFill>
        </w:rPr>
        <w:t>员记录在案后，可视为同意评审结果。</w:t>
      </w:r>
    </w:p>
    <w:p>
      <w:pPr>
        <w:pageBreakBefore w:val="0"/>
        <w:numPr>
          <w:ilvl w:val="0"/>
          <w:numId w:val="69"/>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推荐中标候选人。评标委员会根据评审后的得分由高至低顺序排列，推荐前三名为中标候选人。得分相同的，按投标报价由低到高顺序排列，得分且投标报价相同的，按技术指标优劣顺序排列。</w:t>
      </w:r>
    </w:p>
    <w:p>
      <w:pPr>
        <w:pageBreakBefore w:val="0"/>
        <w:numPr>
          <w:ilvl w:val="0"/>
          <w:numId w:val="69"/>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完成评标报告。评标报告是评标委员会根据全体评标成员签字的原始评标记录和评标结果编写的报告</w:t>
      </w:r>
    </w:p>
    <w:p>
      <w:pPr>
        <w:pStyle w:val="3"/>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319" w:name="_Toc249760795"/>
      <w:bookmarkStart w:id="320" w:name="_Toc251566666"/>
      <w:bookmarkStart w:id="321" w:name="_Toc30474"/>
      <w:bookmarkStart w:id="322" w:name="_Toc534142824"/>
      <w:bookmarkStart w:id="323" w:name="_Toc28715"/>
      <w:bookmarkStart w:id="324" w:name="_Toc367274992"/>
      <w:bookmarkStart w:id="325" w:name="_Toc106"/>
      <w:bookmarkStart w:id="326" w:name="_Toc9951"/>
      <w:bookmarkStart w:id="327" w:name="_Toc295465370"/>
      <w:bookmarkStart w:id="328" w:name="_Toc336"/>
      <w:bookmarkStart w:id="329" w:name="_Toc24072"/>
      <w:bookmarkStart w:id="330" w:name="_Toc3002"/>
      <w:bookmarkStart w:id="331" w:name="_Toc16228"/>
      <w:r>
        <w:rPr>
          <w:rFonts w:hint="eastAsia" w:ascii="宋体" w:hAnsi="宋体" w:cs="宋体"/>
        </w:rPr>
        <w:t>五、评标</w:t>
      </w:r>
      <w:bookmarkEnd w:id="319"/>
      <w:bookmarkEnd w:id="320"/>
      <w:r>
        <w:rPr>
          <w:rFonts w:hint="eastAsia" w:ascii="宋体" w:hAnsi="宋体" w:cs="宋体"/>
        </w:rPr>
        <w:t>细则及标准</w:t>
      </w:r>
      <w:bookmarkEnd w:id="321"/>
      <w:bookmarkEnd w:id="322"/>
      <w:bookmarkEnd w:id="323"/>
      <w:bookmarkEnd w:id="324"/>
      <w:bookmarkEnd w:id="325"/>
      <w:bookmarkEnd w:id="326"/>
      <w:bookmarkEnd w:id="327"/>
      <w:bookmarkEnd w:id="328"/>
      <w:bookmarkEnd w:id="329"/>
      <w:bookmarkEnd w:id="330"/>
      <w:bookmarkEnd w:id="331"/>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 本项目采用综合评分法（总分100分），评标委员会根据本评审办法进行评审，对各投标人的价格、商务、技术等评分因素在分值范围内进行各自打分。每个投标人最终得分=商务+技术分。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2.评审时，评标委员会各成员应当独立对每个有效响应的文件进行评价、打分，然后汇总每个投标人每项评分因素的得分。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3.对投标人的价格分等客观评分项的评分应当一致，对其他需要借助专业知识评判的主观评分项，应当严格按照评分细则公正评分。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pPr>
        <w:pageBreakBefore w:val="0"/>
        <w:widowControl/>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br w:type="page"/>
      </w:r>
    </w:p>
    <w:p>
      <w:pPr>
        <w:numPr>
          <w:ilvl w:val="0"/>
          <w:numId w:val="70"/>
        </w:num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评分因素及分值范围</w:t>
      </w:r>
    </w:p>
    <w:tbl>
      <w:tblPr>
        <w:tblStyle w:val="46"/>
        <w:tblW w:w="8820" w:type="dxa"/>
        <w:jc w:val="center"/>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15" w:type="dxa"/>
          <w:left w:w="15" w:type="dxa"/>
          <w:bottom w:w="15" w:type="dxa"/>
          <w:right w:w="15" w:type="dxa"/>
        </w:tblCellMar>
      </w:tblPr>
      <w:tblGrid>
        <w:gridCol w:w="733"/>
        <w:gridCol w:w="431"/>
        <w:gridCol w:w="599"/>
        <w:gridCol w:w="622"/>
        <w:gridCol w:w="4711"/>
        <w:gridCol w:w="1724"/>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90" w:hRule="atLeast"/>
          <w:jc w:val="center"/>
        </w:trPr>
        <w:tc>
          <w:tcPr>
            <w:tcW w:w="7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序号</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分项</w:t>
            </w:r>
          </w:p>
        </w:tc>
        <w:tc>
          <w:tcPr>
            <w:tcW w:w="5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评审项</w:t>
            </w:r>
          </w:p>
        </w:tc>
        <w:tc>
          <w:tcPr>
            <w:tcW w:w="6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分数</w:t>
            </w:r>
          </w:p>
        </w:tc>
        <w:tc>
          <w:tcPr>
            <w:tcW w:w="64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广东亿利达注塑设备采购项目</w:t>
            </w:r>
            <w:r>
              <w:rPr>
                <w:rFonts w:hint="eastAsia" w:ascii="宋体" w:hAnsi="宋体" w:eastAsia="宋体" w:cs="宋体"/>
                <w:b/>
                <w:bCs/>
                <w:color w:val="000000" w:themeColor="text1"/>
                <w14:textFill>
                  <w14:solidFill>
                    <w14:schemeClr w14:val="tx1"/>
                  </w14:solidFill>
                </w14:textFill>
              </w:rPr>
              <w:t>技术要求</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440" w:hRule="atLeast"/>
          <w:jc w:val="center"/>
        </w:trPr>
        <w:tc>
          <w:tcPr>
            <w:tcW w:w="733"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431"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622"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4711" w:type="dxa"/>
            <w:tcBorders>
              <w:top w:val="single" w:color="000000" w:sz="4" w:space="0"/>
              <w:left w:val="single" w:color="000000" w:sz="4" w:space="0"/>
              <w:bottom w:val="single" w:color="auto"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详细说明</w:t>
            </w:r>
          </w:p>
        </w:tc>
        <w:tc>
          <w:tcPr>
            <w:tcW w:w="1724" w:type="dxa"/>
            <w:tcBorders>
              <w:top w:val="single" w:color="000000" w:sz="4" w:space="0"/>
              <w:left w:val="single" w:color="000000" w:sz="4" w:space="0"/>
              <w:bottom w:val="single" w:color="auto" w:sz="4" w:space="0"/>
              <w:right w:val="single" w:color="000000"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评分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2813" w:hRule="atLeast"/>
          <w:jc w:val="center"/>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w:t>
            </w:r>
          </w:p>
        </w:tc>
        <w:tc>
          <w:tcPr>
            <w:tcW w:w="4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技术评审</w:t>
            </w:r>
          </w:p>
        </w:tc>
        <w:tc>
          <w:tcPr>
            <w:tcW w:w="59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方案指标评价</w:t>
            </w:r>
          </w:p>
        </w:tc>
        <w:tc>
          <w:tcPr>
            <w:tcW w:w="62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20</w:t>
            </w:r>
          </w:p>
        </w:tc>
        <w:tc>
          <w:tcPr>
            <w:tcW w:w="47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1"/>
                <w:numId w:val="0"/>
              </w:numPr>
              <w:ind w:left="0" w:leftChars="0" w:firstLine="0" w:firstLineChars="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注塑机及相关配套设备加工范围：YPB156175、YPB145145塑料风机及叶轮：</w:t>
            </w:r>
          </w:p>
          <w:p>
            <w:pPr>
              <w:widowControl/>
              <w:numPr>
                <w:ilvl w:val="0"/>
                <w:numId w:val="0"/>
              </w:numPr>
              <w:jc w:val="left"/>
              <w:rPr>
                <w:rFonts w:hint="default" w:ascii="宋体" w:hAnsi="宋体" w:eastAsia="宋体" w:cs="宋体"/>
                <w:color w:val="000000" w:themeColor="text1"/>
                <w:lang w:val="en-US" w:eastAsia="zh-CN"/>
                <w14:textFill>
                  <w14:solidFill>
                    <w14:schemeClr w14:val="tx1"/>
                  </w14:solidFill>
                </w14:textFill>
              </w:rPr>
            </w:pPr>
            <w:r>
              <w:rPr>
                <w:rFonts w:hint="eastAsia" w:ascii="Verdana" w:hAnsi="Verdana" w:eastAsia="宋体" w:cs="Verdana"/>
                <w:i w:val="0"/>
                <w:iCs w:val="0"/>
                <w:caps w:val="0"/>
                <w:color w:val="000000"/>
                <w:spacing w:val="0"/>
                <w:kern w:val="0"/>
                <w:sz w:val="18"/>
                <w:szCs w:val="18"/>
                <w:highlight w:val="none"/>
                <w:lang w:val="en-US" w:eastAsia="zh-CN" w:bidi="ar"/>
              </w:rPr>
              <w:t>流水线①：长6500*宽500*高2300（高度可调整结构）；流水线②：</w:t>
            </w:r>
            <w:r>
              <w:rPr>
                <w:rFonts w:hint="eastAsia" w:ascii="Verdana" w:hAnsi="Verdana" w:eastAsia="宋体" w:cs="Verdana"/>
                <w:i w:val="0"/>
                <w:iCs w:val="0"/>
                <w:caps w:val="0"/>
                <w:color w:val="000000"/>
                <w:spacing w:val="0"/>
                <w:kern w:val="0"/>
                <w:sz w:val="18"/>
                <w:szCs w:val="18"/>
                <w:highlight w:val="none"/>
                <w:shd w:val="clear" w:fill="auto"/>
                <w:lang w:val="en-US" w:eastAsia="zh-CN" w:bidi="ar"/>
              </w:rPr>
              <w:t>长5300*宽600*高2400（高度可调整结构）</w:t>
            </w:r>
          </w:p>
        </w:tc>
        <w:tc>
          <w:tcPr>
            <w:tcW w:w="17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default" w:ascii="宋体" w:hAnsi="宋体" w:eastAsia="宋体" w:cs="宋体"/>
                <w:color w:val="000000" w:themeColor="text1"/>
                <w:lang w:val="en-US"/>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整体方案设计合理得15-20分；整体方案设计有缺陷得8-14分；整体方案设计不完善得1-7分；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1010" w:hRule="atLeast"/>
          <w:jc w:val="center"/>
        </w:trPr>
        <w:tc>
          <w:tcPr>
            <w:tcW w:w="7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w:t>
            </w: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vMerge w:val="restart"/>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主要指标评价部分</w:t>
            </w:r>
          </w:p>
        </w:tc>
        <w:tc>
          <w:tcPr>
            <w:tcW w:w="622" w:type="dxa"/>
            <w:vMerge w:val="restart"/>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21</w:t>
            </w: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rPr>
                <w:rFonts w:hint="default"/>
                <w:lang w:val="en-US" w:eastAsia="zh-CN"/>
              </w:rPr>
            </w:pPr>
          </w:p>
          <w:p>
            <w:pPr>
              <w:widowControl/>
              <w:numPr>
                <w:ilvl w:val="-1"/>
                <w:numId w:val="0"/>
              </w:numPr>
              <w:ind w:left="0" w:leftChars="0" w:firstLine="0" w:firstLineChars="0"/>
              <w:jc w:val="left"/>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注塑机：锁模力≥4700KN；顶出力≥110KN；顶出行程：200mm；注射容量≥1420cm³，螺杆直径：φ7mm；模厚320~780mm，</w:t>
            </w:r>
            <w:r>
              <w:rPr>
                <w:rFonts w:hint="eastAsia" w:ascii="宋体" w:hAnsi="宋体" w:eastAsia="宋体" w:cs="宋体"/>
                <w:color w:val="000000"/>
                <w:kern w:val="2"/>
                <w:sz w:val="21"/>
                <w:szCs w:val="24"/>
                <w:lang w:val="en-US" w:eastAsia="zh-CN" w:bidi="ar"/>
              </w:rPr>
              <w:t>注射压力</w:t>
            </w:r>
            <w:r>
              <w:rPr>
                <w:rFonts w:hint="eastAsia" w:ascii="宋体" w:hAnsi="宋体" w:eastAsia="宋体" w:cs="宋体"/>
                <w:color w:val="000000" w:themeColor="text1"/>
                <w:kern w:val="2"/>
                <w:sz w:val="21"/>
                <w:szCs w:val="24"/>
                <w:lang w:val="en-US" w:eastAsia="zh-CN" w:bidi="ar"/>
                <w14:textFill>
                  <w14:solidFill>
                    <w14:schemeClr w14:val="tx1"/>
                  </w14:solidFill>
                </w14:textFill>
              </w:rPr>
              <w:t>≥226MPa等；伺服节能。</w:t>
            </w:r>
          </w:p>
          <w:p>
            <w:pPr>
              <w:pStyle w:val="31"/>
              <w:ind w:right="0" w:rightChars="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aps w:val="0"/>
                <w:color w:val="000000" w:themeColor="text1"/>
                <w:highlight w:val="none"/>
                <w:lang w:val="en-US" w:eastAsia="zh-CN"/>
                <w14:textFill>
                  <w14:solidFill>
                    <w14:schemeClr w14:val="tx1"/>
                  </w14:solidFill>
                </w14:textFill>
              </w:rPr>
              <w:t>配备</w:t>
            </w:r>
            <w:r>
              <w:rPr>
                <w:rFonts w:hint="eastAsia" w:ascii="宋体" w:hAnsi="宋体" w:eastAsia="宋体" w:cs="宋体"/>
                <w:color w:val="000000" w:themeColor="text1"/>
                <w:highlight w:val="none"/>
                <w:lang w:val="en-US" w:eastAsia="zh-CN"/>
                <w14:textFill>
                  <w14:solidFill>
                    <w14:schemeClr w14:val="tx1"/>
                  </w14:solidFill>
                </w14:textFill>
              </w:rPr>
              <w:t>开光门安全互锁及三色蜂鸣警报装置</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注塑机</w:t>
            </w:r>
          </w:p>
          <w:p>
            <w:pPr>
              <w:jc w:val="center"/>
              <w:rPr>
                <w:rFonts w:hint="eastAsia" w:ascii="Tahoma" w:hAnsi="Tahoma" w:eastAsia="EYInterstate Light" w:cs="Tahoma"/>
                <w:kern w:val="2"/>
                <w:sz w:val="21"/>
                <w:szCs w:val="24"/>
                <w:lang w:val="en-US" w:eastAsia="zh-CN" w:bidi="ar-SA"/>
              </w:rPr>
            </w:pPr>
            <w:r>
              <w:rPr>
                <w:rFonts w:hint="eastAsia" w:ascii="宋体" w:hAnsi="宋体" w:eastAsia="宋体" w:cs="宋体"/>
                <w:color w:val="000000" w:themeColor="text1"/>
                <w:lang w:val="en-US" w:eastAsia="zh-CN"/>
                <w14:textFill>
                  <w14:solidFill>
                    <w14:schemeClr w14:val="tx1"/>
                  </w14:solidFill>
                </w14:textFill>
              </w:rPr>
              <w:t>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280" w:hRule="atLeast"/>
          <w:jc w:val="center"/>
        </w:trPr>
        <w:tc>
          <w:tcPr>
            <w:tcW w:w="7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599"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622"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国内一线品牌或拥有自主核心技术研发，加热效率高，自动恒温控制，节能高效，功率不高于</w:t>
            </w:r>
            <w:r>
              <w:rPr>
                <w:rFonts w:hint="eastAsia" w:ascii="宋体" w:hAnsi="宋体" w:eastAsia="宋体" w:cs="宋体"/>
                <w:b/>
                <w:color w:val="000000" w:themeColor="text1"/>
                <w:sz w:val="21"/>
                <w:szCs w:val="21"/>
                <w:highlight w:val="none"/>
                <w:lang w:val="en-US" w:eastAsia="zh-CN"/>
                <w14:textFill>
                  <w14:solidFill>
                    <w14:schemeClr w14:val="tx1"/>
                  </w14:solidFill>
                </w14:textFill>
              </w:rPr>
              <w:t>7000W</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料斗干燥机</w:t>
            </w:r>
          </w:p>
          <w:p>
            <w:pPr>
              <w:pStyle w:val="31"/>
              <w:ind w:right="0" w:rightChars="0"/>
              <w:jc w:val="center"/>
              <w:rPr>
                <w:rFonts w:hint="eastAsia" w:ascii="宋体" w:hAnsi="宋体" w:eastAsia="宋体" w:cs="宋体"/>
                <w:caps/>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280" w:hRule="atLeast"/>
          <w:jc w:val="center"/>
        </w:trPr>
        <w:tc>
          <w:tcPr>
            <w:tcW w:w="7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599"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622"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国内一线品牌或拥有自主核心技术研发，配套机械手夹具可满足蜗壳及叶轮取料与上检，配套各项安全互锁及位置检测传感器，</w:t>
            </w:r>
            <w:r>
              <w:rPr>
                <w:rFonts w:hint="eastAsia" w:ascii="宋体" w:hAnsi="宋体" w:eastAsia="宋体" w:cs="宋体"/>
                <w:b/>
                <w:color w:val="000000" w:themeColor="text1"/>
                <w:sz w:val="21"/>
                <w:szCs w:val="21"/>
                <w:highlight w:val="none"/>
                <w:lang w:val="en-US" w:eastAsia="zh-CN"/>
                <w14:textFill>
                  <w14:solidFill>
                    <w14:schemeClr w14:val="tx1"/>
                  </w14:solidFill>
                </w14:textFill>
              </w:rPr>
              <w:t>5轴</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机械手</w:t>
            </w:r>
          </w:p>
          <w:p>
            <w:pPr>
              <w:pStyle w:val="31"/>
              <w:ind w:right="0" w:rightChars="0"/>
              <w:jc w:val="center"/>
              <w:rPr>
                <w:rFonts w:hint="eastAsia" w:ascii="宋体" w:hAnsi="宋体" w:eastAsia="宋体" w:cs="宋体"/>
                <w:caps/>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280" w:hRule="atLeast"/>
          <w:jc w:val="center"/>
        </w:trPr>
        <w:tc>
          <w:tcPr>
            <w:tcW w:w="7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599"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622"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left"/>
              <w:rPr>
                <w:rFonts w:hint="default" w:ascii="宋体" w:hAnsi="宋体" w:eastAsia="宋体" w:cs="宋体"/>
                <w:color w:val="000000" w:themeColor="text1"/>
                <w:highlight w:val="none"/>
                <w:lang w:val="en-US"/>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国内一线品牌或拥有自主核心技术研发，工况噪音低于85分贝，功率不高于</w:t>
            </w:r>
            <w:r>
              <w:rPr>
                <w:rFonts w:hint="eastAsia" w:ascii="宋体" w:hAnsi="宋体" w:eastAsia="宋体" w:cs="宋体"/>
                <w:b/>
                <w:color w:val="000000" w:themeColor="text1"/>
                <w:sz w:val="21"/>
                <w:szCs w:val="21"/>
                <w:highlight w:val="none"/>
                <w:lang w:val="en-US" w:eastAsia="zh-CN"/>
                <w14:textFill>
                  <w14:solidFill>
                    <w14:schemeClr w14:val="tx1"/>
                  </w14:solidFill>
                </w14:textFill>
              </w:rPr>
              <w:t>3HP</w:t>
            </w:r>
            <w:r>
              <w:rPr>
                <w:rFonts w:hint="eastAsia" w:ascii="宋体" w:hAnsi="宋体" w:eastAsia="宋体" w:cs="宋体"/>
                <w:color w:val="000000" w:themeColor="text1"/>
                <w:highlight w:val="none"/>
                <w:lang w:val="en-US" w:eastAsia="zh-CN"/>
                <w14:textFill>
                  <w14:solidFill>
                    <w14:schemeClr w14:val="tx1"/>
                  </w14:solidFill>
                </w14:textFill>
              </w:rPr>
              <w:t>。</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粉碎机</w:t>
            </w:r>
          </w:p>
          <w:p>
            <w:pPr>
              <w:pStyle w:val="31"/>
              <w:ind w:right="0" w:rightChars="0"/>
              <w:jc w:val="center"/>
              <w:rPr>
                <w:rFonts w:hint="eastAsia" w:ascii="宋体" w:hAnsi="宋体" w:eastAsia="宋体" w:cs="宋体"/>
                <w:caps/>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1253" w:hRule="atLeast"/>
          <w:jc w:val="center"/>
        </w:trPr>
        <w:tc>
          <w:tcPr>
            <w:tcW w:w="7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599"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622"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lef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国内一线品牌或拥有自主核心技术研发，节能高效压缩机，温度自动控制，制冷效率高，工况噪音低于85分贝，功率不高于</w:t>
            </w:r>
            <w:r>
              <w:rPr>
                <w:rFonts w:hint="eastAsia" w:ascii="宋体" w:hAnsi="宋体" w:eastAsia="宋体" w:cs="宋体"/>
                <w:b/>
                <w:color w:val="000000" w:themeColor="text1"/>
                <w:sz w:val="21"/>
                <w:szCs w:val="21"/>
                <w:highlight w:val="none"/>
                <w:lang w:val="en-US" w:eastAsia="zh-CN"/>
                <w14:textFill>
                  <w14:solidFill>
                    <w14:schemeClr w14:val="tx1"/>
                  </w14:solidFill>
                </w14:textFill>
              </w:rPr>
              <w:t>5HP</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冷水机</w:t>
            </w:r>
          </w:p>
          <w:p>
            <w:pPr>
              <w:pStyle w:val="31"/>
              <w:ind w:right="0" w:rightChars="0"/>
              <w:jc w:val="center"/>
              <w:rPr>
                <w:rFonts w:hint="eastAsia" w:ascii="宋体" w:hAnsi="宋体" w:eastAsia="宋体" w:cs="宋体"/>
                <w:caps/>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2797" w:hRule="atLeast"/>
          <w:jc w:val="center"/>
        </w:trPr>
        <w:tc>
          <w:tcPr>
            <w:tcW w:w="7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599"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622"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left"/>
              <w:rPr>
                <w:rFonts w:hint="default" w:ascii="宋体" w:hAnsi="宋体" w:eastAsia="宋体" w:cs="宋体"/>
                <w:color w:val="000000" w:themeColor="text1"/>
                <w:highlight w:val="none"/>
                <w:lang w:val="en-US"/>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国内一线品牌或拥有自主核心技术研发，微电脑控制，并有多项警报指示，如缺料、马达堵转等，独立过滤装置及检视窗，方便查看过滤器及清洗，料斗标配不锈钢滤网，配脚轮，移动方便。</w:t>
            </w:r>
            <w:r>
              <w:rPr>
                <w:rFonts w:hint="eastAsia" w:ascii="宋体" w:hAnsi="宋体" w:eastAsia="宋体" w:cs="宋体"/>
                <w:b/>
                <w:color w:val="000000" w:themeColor="text1"/>
                <w:sz w:val="21"/>
                <w:szCs w:val="21"/>
                <w:highlight w:val="none"/>
                <w:lang w:val="en-US" w:eastAsia="zh-CN"/>
                <w14:textFill>
                  <w14:solidFill>
                    <w14:schemeClr w14:val="tx1"/>
                  </w14:solidFill>
                </w14:textFill>
              </w:rPr>
              <w:t>风机功率不低于1.2KW；输送管道不小于1.5inch；输送能力不低于300kghr；料斗容量不低于6L</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填料机</w:t>
            </w:r>
          </w:p>
          <w:p>
            <w:pPr>
              <w:pStyle w:val="31"/>
              <w:ind w:right="0" w:rightChars="0"/>
              <w:jc w:val="center"/>
              <w:rPr>
                <w:rFonts w:hint="eastAsia" w:ascii="宋体" w:hAnsi="宋体" w:eastAsia="宋体" w:cs="宋体"/>
                <w:caps/>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280" w:hRule="atLeast"/>
          <w:jc w:val="center"/>
        </w:trPr>
        <w:tc>
          <w:tcPr>
            <w:tcW w:w="73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pPr>
          </w:p>
        </w:tc>
        <w:tc>
          <w:tcPr>
            <w:tcW w:w="599"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622" w:type="dxa"/>
            <w:vMerge w:val="continue"/>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pPr>
          </w:p>
        </w:tc>
        <w:tc>
          <w:tcPr>
            <w:tcW w:w="4711"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配性能轴承，耐磨滚筒及皮带，机架钢质材质，高度可调整，配制脚轮，移动方便。</w:t>
            </w:r>
          </w:p>
          <w:p>
            <w:pPr>
              <w:pStyle w:val="31"/>
              <w:ind w:right="0" w:rightChars="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流水线①：长6500*宽500*高2300（高度可调整结构）；</w:t>
            </w:r>
          </w:p>
          <w:p>
            <w:pPr>
              <w:pStyle w:val="31"/>
              <w:ind w:right="0" w:rightChars="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流水线②：长5300*宽600*高2400（高度可调整结构）</w:t>
            </w:r>
          </w:p>
          <w:p>
            <w:pPr>
              <w:pStyle w:val="31"/>
              <w:ind w:right="0" w:rightChars="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变频器控无极调速</w:t>
            </w:r>
          </w:p>
        </w:tc>
        <w:tc>
          <w:tcPr>
            <w:tcW w:w="1724"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ind w:right="0" w:rightChars="0"/>
              <w:jc w:val="center"/>
              <w:rPr>
                <w:rFonts w:hint="default" w:ascii="宋体" w:hAnsi="宋体" w:eastAsia="宋体" w:cs="宋体"/>
                <w:caps/>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流水线0-3分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810" w:hRule="atLeast"/>
          <w:jc w:val="center"/>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w:t>
            </w: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辅助设备部分</w:t>
            </w:r>
          </w:p>
        </w:tc>
        <w:tc>
          <w:tcPr>
            <w:tcW w:w="622"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5</w:t>
            </w:r>
          </w:p>
        </w:tc>
        <w:tc>
          <w:tcPr>
            <w:tcW w:w="6435" w:type="dxa"/>
            <w:gridSpan w:val="2"/>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left"/>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采用优质品牌，如施耐德、三菱、松下、西门子等，且具有符合电气认证的相关标准，辅助部件采用优质高端品牌得5分；辅助部件采用中端品牌得2-4分；辅助部件采用低端品牌得0-1分。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810" w:hRule="atLeast"/>
          <w:jc w:val="center"/>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4</w:t>
            </w: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产品性能</w:t>
            </w:r>
          </w:p>
        </w:tc>
        <w:tc>
          <w:tcPr>
            <w:tcW w:w="622"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4</w:t>
            </w:r>
          </w:p>
        </w:tc>
        <w:tc>
          <w:tcPr>
            <w:tcW w:w="6435" w:type="dxa"/>
            <w:gridSpan w:val="2"/>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left"/>
              <w:rPr>
                <w:rFonts w:hint="default" w:ascii="宋体" w:hAnsi="宋体" w:eastAsia="宋体" w:cs="宋体"/>
                <w:color w:val="000000" w:themeColor="text1"/>
                <w:lang w:val="en-US" w:eastAsia="zh-CN"/>
                <w14:textFill>
                  <w14:solidFill>
                    <w14:schemeClr w14:val="tx1"/>
                  </w14:solidFill>
                </w14:textFill>
              </w:rPr>
            </w:pPr>
            <w:r>
              <w:rPr>
                <w:rFonts w:ascii="EYInterstate Light" w:hAnsi="EYInterstate Light" w:eastAsia="EYInterstate Light" w:cs="中圆体"/>
                <w:color w:val="000000"/>
                <w:kern w:val="2"/>
                <w:sz w:val="21"/>
                <w:szCs w:val="21"/>
                <w:highlight w:val="none"/>
              </w:rPr>
              <w:t>产品总体性能及质量水平</w:t>
            </w:r>
            <w:r>
              <w:rPr>
                <w:rFonts w:hint="eastAsia" w:ascii="EYInterstate Light" w:hAnsi="EYInterstate Light" w:eastAsia="EYInterstate Light" w:cs="中圆体"/>
                <w:color w:val="000000"/>
                <w:kern w:val="2"/>
                <w:sz w:val="21"/>
                <w:szCs w:val="21"/>
                <w:highlight w:val="none"/>
              </w:rPr>
              <w:t>：</w:t>
            </w:r>
            <w:r>
              <w:rPr>
                <w:rFonts w:ascii="EYInterstate Light" w:hAnsi="EYInterstate Light" w:eastAsia="EYInterstate Light" w:cs="中圆体"/>
                <w:color w:val="000000"/>
                <w:kern w:val="2"/>
                <w:sz w:val="21"/>
                <w:szCs w:val="21"/>
                <w:highlight w:val="none"/>
              </w:rPr>
              <w:t>所提供产品的主要技术、结构、性能、特点、操作说明和质量水平的描述详细，技术支持资料或证明文件完整、有效，能较好地反映产品的性能特点和质量状况的，得</w:t>
            </w:r>
            <w:r>
              <w:rPr>
                <w:rFonts w:hint="eastAsia" w:eastAsia="EYInterstate Light" w:cs="中圆体"/>
                <w:color w:val="000000"/>
                <w:kern w:val="2"/>
                <w:sz w:val="21"/>
                <w:szCs w:val="21"/>
                <w:highlight w:val="none"/>
                <w:lang w:val="en-US" w:eastAsia="zh-CN"/>
              </w:rPr>
              <w:t>4</w:t>
            </w:r>
            <w:r>
              <w:rPr>
                <w:rFonts w:ascii="EYInterstate Light" w:hAnsi="EYInterstate Light" w:eastAsia="EYInterstate Light" w:cs="中圆体"/>
                <w:color w:val="000000"/>
                <w:kern w:val="2"/>
                <w:sz w:val="21"/>
                <w:szCs w:val="21"/>
                <w:highlight w:val="none"/>
              </w:rPr>
              <w:t>分；所提供产品的性能特点、质量水平等描述基本完整的，得</w:t>
            </w:r>
            <w:r>
              <w:rPr>
                <w:rFonts w:hint="eastAsia" w:eastAsia="EYInterstate Light" w:cs="中圆体"/>
                <w:color w:val="000000"/>
                <w:kern w:val="2"/>
                <w:sz w:val="21"/>
                <w:szCs w:val="21"/>
                <w:highlight w:val="none"/>
                <w:lang w:val="en-US" w:eastAsia="zh-CN"/>
              </w:rPr>
              <w:t>2-3</w:t>
            </w:r>
            <w:r>
              <w:rPr>
                <w:rFonts w:ascii="EYInterstate Light" w:hAnsi="EYInterstate Light" w:eastAsia="EYInterstate Light" w:cs="中圆体"/>
                <w:color w:val="000000"/>
                <w:kern w:val="2"/>
                <w:sz w:val="21"/>
                <w:szCs w:val="21"/>
                <w:highlight w:val="none"/>
              </w:rPr>
              <w:t>分；所提供产品的性能特点、质量水平等完整性较差或未描述完整的，得0-</w:t>
            </w:r>
            <w:r>
              <w:rPr>
                <w:rFonts w:hint="eastAsia" w:eastAsia="EYInterstate Light" w:cs="中圆体"/>
                <w:color w:val="000000"/>
                <w:kern w:val="2"/>
                <w:sz w:val="21"/>
                <w:szCs w:val="21"/>
                <w:highlight w:val="none"/>
                <w:lang w:val="en-US" w:eastAsia="zh-CN"/>
              </w:rPr>
              <w:t>1</w:t>
            </w:r>
            <w:r>
              <w:rPr>
                <w:rFonts w:ascii="EYInterstate Light" w:hAnsi="EYInterstate Light" w:eastAsia="EYInterstate Light" w:cs="中圆体"/>
                <w:color w:val="000000"/>
                <w:kern w:val="2"/>
                <w:sz w:val="21"/>
                <w:szCs w:val="21"/>
                <w:highlight w:val="none"/>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810" w:hRule="atLeast"/>
          <w:jc w:val="center"/>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5</w:t>
            </w: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产品稳定性</w:t>
            </w:r>
          </w:p>
        </w:tc>
        <w:tc>
          <w:tcPr>
            <w:tcW w:w="622"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4</w:t>
            </w:r>
          </w:p>
        </w:tc>
        <w:tc>
          <w:tcPr>
            <w:tcW w:w="6435" w:type="dxa"/>
            <w:gridSpan w:val="2"/>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left"/>
              <w:rPr>
                <w:rFonts w:hint="eastAsia" w:ascii="宋体" w:hAnsi="宋体" w:eastAsia="宋体" w:cs="宋体"/>
                <w:color w:val="000000" w:themeColor="text1"/>
                <w14:textFill>
                  <w14:solidFill>
                    <w14:schemeClr w14:val="tx1"/>
                  </w14:solidFill>
                </w14:textFill>
              </w:rPr>
            </w:pPr>
            <w:r>
              <w:rPr>
                <w:rFonts w:ascii="EYInterstate Light" w:hAnsi="EYInterstate Light" w:eastAsia="EYInterstate Light" w:cs="中圆体"/>
                <w:color w:val="000000"/>
                <w:kern w:val="2"/>
                <w:sz w:val="21"/>
                <w:szCs w:val="21"/>
                <w:highlight w:val="none"/>
              </w:rPr>
              <w:t>产品的稳定性、可操作性和可维护性</w:t>
            </w:r>
            <w:r>
              <w:rPr>
                <w:rFonts w:hint="eastAsia" w:ascii="EYInterstate Light" w:hAnsi="EYInterstate Light" w:eastAsia="EYInterstate Light" w:cs="中圆体"/>
                <w:color w:val="000000"/>
                <w:kern w:val="2"/>
                <w:sz w:val="21"/>
                <w:szCs w:val="21"/>
                <w:highlight w:val="none"/>
              </w:rPr>
              <w:t>：</w:t>
            </w:r>
            <w:r>
              <w:rPr>
                <w:rFonts w:ascii="EYInterstate Light" w:hAnsi="EYInterstate Light" w:eastAsia="EYInterstate Light" w:cs="中圆体"/>
                <w:color w:val="000000"/>
                <w:kern w:val="2"/>
                <w:sz w:val="21"/>
                <w:szCs w:val="21"/>
                <w:highlight w:val="none"/>
              </w:rPr>
              <w:t>所提供产品的稳定性好，可操作性强，维护简便的，得</w:t>
            </w:r>
            <w:r>
              <w:rPr>
                <w:rFonts w:hint="eastAsia" w:eastAsia="EYInterstate Light" w:cs="中圆体"/>
                <w:color w:val="000000"/>
                <w:kern w:val="2"/>
                <w:sz w:val="21"/>
                <w:szCs w:val="21"/>
                <w:highlight w:val="none"/>
                <w:lang w:val="en-US" w:eastAsia="zh-CN"/>
              </w:rPr>
              <w:t>4</w:t>
            </w:r>
            <w:r>
              <w:rPr>
                <w:rFonts w:ascii="EYInterstate Light" w:hAnsi="EYInterstate Light" w:eastAsia="EYInterstate Light" w:cs="中圆体"/>
                <w:color w:val="000000"/>
                <w:kern w:val="2"/>
                <w:sz w:val="21"/>
                <w:szCs w:val="21"/>
                <w:highlight w:val="none"/>
              </w:rPr>
              <w:t>分；所提供产品的稳定性一般，可操作性一般，维护相对简便的，得</w:t>
            </w:r>
            <w:r>
              <w:rPr>
                <w:rFonts w:hint="eastAsia" w:eastAsia="EYInterstate Light" w:cs="中圆体"/>
                <w:color w:val="000000"/>
                <w:kern w:val="2"/>
                <w:sz w:val="21"/>
                <w:szCs w:val="21"/>
                <w:highlight w:val="none"/>
                <w:lang w:val="en-US" w:eastAsia="zh-CN"/>
              </w:rPr>
              <w:t>2-3</w:t>
            </w:r>
            <w:r>
              <w:rPr>
                <w:rFonts w:ascii="EYInterstate Light" w:hAnsi="EYInterstate Light" w:eastAsia="EYInterstate Light" w:cs="中圆体"/>
                <w:color w:val="000000"/>
                <w:kern w:val="2"/>
                <w:sz w:val="21"/>
                <w:szCs w:val="21"/>
                <w:highlight w:val="none"/>
              </w:rPr>
              <w:t>分；所提供产品的稳定性、可操作性和可维护性较差的，得0-</w:t>
            </w:r>
            <w:r>
              <w:rPr>
                <w:rFonts w:hint="eastAsia" w:eastAsia="EYInterstate Light" w:cs="中圆体"/>
                <w:color w:val="000000"/>
                <w:kern w:val="2"/>
                <w:sz w:val="21"/>
                <w:szCs w:val="21"/>
                <w:highlight w:val="none"/>
                <w:lang w:val="en-US" w:eastAsia="zh-CN"/>
              </w:rPr>
              <w:t>1</w:t>
            </w:r>
            <w:r>
              <w:rPr>
                <w:rFonts w:ascii="EYInterstate Light" w:hAnsi="EYInterstate Light" w:eastAsia="EYInterstate Light" w:cs="中圆体"/>
                <w:color w:val="000000"/>
                <w:kern w:val="2"/>
                <w:sz w:val="21"/>
                <w:szCs w:val="21"/>
                <w:highlight w:val="none"/>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810" w:hRule="atLeast"/>
          <w:jc w:val="center"/>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6</w:t>
            </w: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供货、安装、调试</w:t>
            </w:r>
          </w:p>
        </w:tc>
        <w:tc>
          <w:tcPr>
            <w:tcW w:w="622"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3</w:t>
            </w:r>
          </w:p>
        </w:tc>
        <w:tc>
          <w:tcPr>
            <w:tcW w:w="6435" w:type="dxa"/>
            <w:gridSpan w:val="2"/>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left"/>
              <w:rPr>
                <w:rFonts w:hint="eastAsia" w:ascii="宋体" w:hAnsi="宋体" w:eastAsia="宋体" w:cs="宋体"/>
                <w:color w:val="000000" w:themeColor="text1"/>
                <w14:textFill>
                  <w14:solidFill>
                    <w14:schemeClr w14:val="tx1"/>
                  </w14:solidFill>
                </w14:textFill>
              </w:rPr>
            </w:pPr>
            <w:r>
              <w:rPr>
                <w:rFonts w:ascii="EYInterstate Light" w:hAnsi="EYInterstate Light" w:eastAsia="EYInterstate Light" w:cs="中圆体"/>
                <w:color w:val="000000"/>
                <w:kern w:val="2"/>
                <w:sz w:val="21"/>
                <w:szCs w:val="21"/>
                <w:highlight w:val="none"/>
              </w:rPr>
              <w:t>供货、安装、调试计划及人员安排情况</w:t>
            </w:r>
            <w:r>
              <w:rPr>
                <w:rFonts w:hint="eastAsia" w:ascii="EYInterstate Light" w:hAnsi="EYInterstate Light" w:eastAsia="EYInterstate Light" w:cs="中圆体"/>
                <w:color w:val="000000"/>
                <w:kern w:val="2"/>
                <w:sz w:val="21"/>
                <w:szCs w:val="21"/>
                <w:highlight w:val="none"/>
              </w:rPr>
              <w:t>：</w:t>
            </w:r>
            <w:r>
              <w:rPr>
                <w:rFonts w:ascii="EYInterstate Light" w:hAnsi="EYInterstate Light" w:eastAsia="EYInterstate Light" w:cs="中圆体"/>
                <w:color w:val="000000"/>
                <w:kern w:val="2"/>
                <w:sz w:val="21"/>
                <w:szCs w:val="21"/>
                <w:highlight w:val="none"/>
              </w:rPr>
              <w:t>供货、安装、调试计划科学、合理，拟派人员经验丰富、技术能力强的，得</w:t>
            </w:r>
            <w:r>
              <w:rPr>
                <w:rFonts w:hint="eastAsia" w:eastAsia="EYInterstate Light" w:cs="中圆体"/>
                <w:color w:val="000000"/>
                <w:kern w:val="2"/>
                <w:sz w:val="21"/>
                <w:szCs w:val="21"/>
                <w:highlight w:val="none"/>
                <w:lang w:val="en-US" w:eastAsia="zh-CN"/>
              </w:rPr>
              <w:t>3</w:t>
            </w:r>
            <w:r>
              <w:rPr>
                <w:rFonts w:ascii="EYInterstate Light" w:hAnsi="EYInterstate Light" w:eastAsia="EYInterstate Light" w:cs="中圆体"/>
                <w:color w:val="000000"/>
                <w:kern w:val="2"/>
                <w:sz w:val="21"/>
                <w:szCs w:val="21"/>
                <w:highlight w:val="none"/>
              </w:rPr>
              <w:t>分；供货、安装、调试计划基本合理，拟派人员具有一定的技术能力的，得</w:t>
            </w:r>
            <w:r>
              <w:rPr>
                <w:rFonts w:hint="eastAsia" w:eastAsia="EYInterstate Light" w:cs="中圆体"/>
                <w:color w:val="000000"/>
                <w:kern w:val="2"/>
                <w:sz w:val="21"/>
                <w:szCs w:val="21"/>
                <w:highlight w:val="none"/>
                <w:lang w:val="en-US" w:eastAsia="zh-CN"/>
              </w:rPr>
              <w:t>2</w:t>
            </w:r>
            <w:r>
              <w:rPr>
                <w:rFonts w:ascii="EYInterstate Light" w:hAnsi="EYInterstate Light" w:eastAsia="EYInterstate Light" w:cs="中圆体"/>
                <w:color w:val="000000"/>
                <w:kern w:val="2"/>
                <w:sz w:val="21"/>
                <w:szCs w:val="21"/>
                <w:highlight w:val="none"/>
              </w:rPr>
              <w:t>分；供货、安装、调试计划及人员安排情况较差或未描述完整的，得0-</w:t>
            </w:r>
            <w:r>
              <w:rPr>
                <w:rFonts w:hint="eastAsia" w:eastAsia="EYInterstate Light" w:cs="中圆体"/>
                <w:color w:val="000000"/>
                <w:kern w:val="2"/>
                <w:sz w:val="21"/>
                <w:szCs w:val="21"/>
                <w:highlight w:val="none"/>
                <w:lang w:val="en-US" w:eastAsia="zh-CN"/>
              </w:rPr>
              <w:t>1</w:t>
            </w:r>
            <w:r>
              <w:rPr>
                <w:rFonts w:ascii="EYInterstate Light" w:hAnsi="EYInterstate Light" w:eastAsia="EYInterstate Light" w:cs="中圆体"/>
                <w:color w:val="000000"/>
                <w:kern w:val="2"/>
                <w:sz w:val="21"/>
                <w:szCs w:val="21"/>
                <w:highlight w:val="none"/>
              </w:rPr>
              <w:t>分。</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15" w:type="dxa"/>
            <w:left w:w="15" w:type="dxa"/>
            <w:bottom w:w="15" w:type="dxa"/>
            <w:right w:w="15" w:type="dxa"/>
          </w:tblCellMar>
        </w:tblPrEx>
        <w:trPr>
          <w:trHeight w:val="810" w:hRule="atLeast"/>
          <w:jc w:val="center"/>
        </w:trPr>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7</w:t>
            </w:r>
          </w:p>
        </w:tc>
        <w:tc>
          <w:tcPr>
            <w:tcW w:w="4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31"/>
              <w:jc w:val="center"/>
              <w:rPr>
                <w:rFonts w:hint="eastAsia" w:ascii="宋体" w:hAnsi="宋体" w:eastAsia="宋体" w:cs="宋体"/>
                <w:color w:val="000000" w:themeColor="text1"/>
                <w14:textFill>
                  <w14:solidFill>
                    <w14:schemeClr w14:val="tx1"/>
                  </w14:solidFill>
                </w14:textFill>
              </w:rPr>
            </w:pPr>
          </w:p>
        </w:tc>
        <w:tc>
          <w:tcPr>
            <w:tcW w:w="599"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验收</w:t>
            </w:r>
          </w:p>
        </w:tc>
        <w:tc>
          <w:tcPr>
            <w:tcW w:w="622" w:type="dxa"/>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center"/>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3</w:t>
            </w:r>
          </w:p>
        </w:tc>
        <w:tc>
          <w:tcPr>
            <w:tcW w:w="6435" w:type="dxa"/>
            <w:gridSpan w:val="2"/>
            <w:tcBorders>
              <w:top w:val="single" w:color="auto" w:sz="4" w:space="0"/>
              <w:left w:val="single" w:color="auto" w:sz="4" w:space="0"/>
              <w:bottom w:val="single" w:color="auto" w:sz="4" w:space="0"/>
              <w:right w:val="single" w:color="auto" w:sz="4" w:space="0"/>
            </w:tcBorders>
            <w:shd w:val="clear" w:color="FFFFFF" w:themeColor="background1" w:fill="auto"/>
            <w:vAlign w:val="center"/>
          </w:tcPr>
          <w:p>
            <w:pPr>
              <w:pStyle w:val="31"/>
              <w:jc w:val="left"/>
              <w:rPr>
                <w:rFonts w:hint="eastAsia" w:ascii="宋体" w:hAnsi="宋体" w:eastAsia="宋体" w:cs="宋体"/>
                <w:color w:val="000000" w:themeColor="text1"/>
                <w14:textFill>
                  <w14:solidFill>
                    <w14:schemeClr w14:val="tx1"/>
                  </w14:solidFill>
                </w14:textFill>
              </w:rPr>
            </w:pPr>
            <w:r>
              <w:rPr>
                <w:rFonts w:ascii="EYInterstate Light" w:hAnsi="EYInterstate Light" w:eastAsia="EYInterstate Light" w:cs="中圆体"/>
                <w:color w:val="000000"/>
                <w:kern w:val="2"/>
                <w:sz w:val="21"/>
                <w:szCs w:val="21"/>
                <w:highlight w:val="none"/>
              </w:rPr>
              <w:t>验收方案及质量保证措施</w:t>
            </w:r>
            <w:r>
              <w:rPr>
                <w:rFonts w:hint="eastAsia" w:ascii="EYInterstate Light" w:hAnsi="EYInterstate Light" w:eastAsia="EYInterstate Light" w:cs="中圆体"/>
                <w:color w:val="000000"/>
                <w:kern w:val="2"/>
                <w:sz w:val="21"/>
                <w:szCs w:val="21"/>
                <w:highlight w:val="none"/>
              </w:rPr>
              <w:t>：</w:t>
            </w:r>
            <w:r>
              <w:rPr>
                <w:rFonts w:ascii="EYInterstate Light" w:hAnsi="EYInterstate Light" w:eastAsia="EYInterstate Light" w:cs="中圆体"/>
                <w:color w:val="000000"/>
                <w:kern w:val="2"/>
                <w:sz w:val="21"/>
                <w:szCs w:val="21"/>
                <w:highlight w:val="none"/>
              </w:rPr>
              <w:t>验收方案科学、合理，质量保证措施完善、有力的，得</w:t>
            </w:r>
            <w:r>
              <w:rPr>
                <w:rFonts w:hint="eastAsia" w:eastAsia="EYInterstate Light" w:cs="中圆体"/>
                <w:color w:val="000000"/>
                <w:kern w:val="2"/>
                <w:sz w:val="21"/>
                <w:szCs w:val="21"/>
                <w:highlight w:val="none"/>
                <w:lang w:val="en-US" w:eastAsia="zh-CN"/>
              </w:rPr>
              <w:t>3</w:t>
            </w:r>
            <w:r>
              <w:rPr>
                <w:rFonts w:ascii="EYInterstate Light" w:hAnsi="EYInterstate Light" w:eastAsia="EYInterstate Light" w:cs="中圆体"/>
                <w:color w:val="000000"/>
                <w:kern w:val="2"/>
                <w:sz w:val="21"/>
                <w:szCs w:val="21"/>
                <w:highlight w:val="none"/>
              </w:rPr>
              <w:t>分；验收方案及质量保证措施基本完整且有一定针对性的，得</w:t>
            </w:r>
            <w:r>
              <w:rPr>
                <w:rFonts w:hint="eastAsia" w:eastAsia="EYInterstate Light" w:cs="中圆体"/>
                <w:color w:val="000000"/>
                <w:kern w:val="2"/>
                <w:sz w:val="21"/>
                <w:szCs w:val="21"/>
                <w:highlight w:val="none"/>
                <w:lang w:val="en-US" w:eastAsia="zh-CN"/>
              </w:rPr>
              <w:t>2</w:t>
            </w:r>
            <w:r>
              <w:rPr>
                <w:rFonts w:ascii="EYInterstate Light" w:hAnsi="EYInterstate Light" w:eastAsia="EYInterstate Light" w:cs="中圆体"/>
                <w:color w:val="000000"/>
                <w:kern w:val="2"/>
                <w:sz w:val="21"/>
                <w:szCs w:val="21"/>
                <w:highlight w:val="none"/>
              </w:rPr>
              <w:t>分；验收方案及质量保证措施有较多欠缺或未提供的，得0-</w:t>
            </w:r>
            <w:r>
              <w:rPr>
                <w:rFonts w:hint="eastAsia" w:eastAsia="EYInterstate Light" w:cs="中圆体"/>
                <w:color w:val="000000"/>
                <w:kern w:val="2"/>
                <w:sz w:val="21"/>
                <w:szCs w:val="21"/>
                <w:highlight w:val="none"/>
                <w:lang w:val="en-US" w:eastAsia="zh-CN"/>
              </w:rPr>
              <w:t>1</w:t>
            </w:r>
            <w:r>
              <w:rPr>
                <w:rFonts w:ascii="EYInterstate Light" w:hAnsi="EYInterstate Light" w:eastAsia="EYInterstate Light" w:cs="中圆体"/>
                <w:color w:val="000000"/>
                <w:kern w:val="2"/>
                <w:sz w:val="21"/>
                <w:szCs w:val="21"/>
                <w:highlight w:val="none"/>
              </w:rPr>
              <w:t>分。</w:t>
            </w:r>
          </w:p>
        </w:tc>
      </w:tr>
    </w:tbl>
    <w:p>
      <w:pPr>
        <w:pStyle w:val="31"/>
        <w:jc w:val="both"/>
        <w:rPr>
          <w:color w:val="000000" w:themeColor="text1"/>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tbl>
      <w:tblPr>
        <w:tblStyle w:val="46"/>
        <w:tblW w:w="8820" w:type="dxa"/>
        <w:tblInd w:w="93" w:type="dxa"/>
        <w:tblLayout w:type="fixed"/>
        <w:tblCellMar>
          <w:top w:w="0" w:type="dxa"/>
          <w:left w:w="108" w:type="dxa"/>
          <w:bottom w:w="0" w:type="dxa"/>
          <w:right w:w="108" w:type="dxa"/>
        </w:tblCellMar>
      </w:tblPr>
      <w:tblGrid>
        <w:gridCol w:w="500"/>
        <w:gridCol w:w="440"/>
        <w:gridCol w:w="918"/>
        <w:gridCol w:w="523"/>
        <w:gridCol w:w="2428"/>
        <w:gridCol w:w="4011"/>
      </w:tblGrid>
      <w:tr>
        <w:tblPrEx>
          <w:tblCellMar>
            <w:top w:w="0" w:type="dxa"/>
            <w:left w:w="108" w:type="dxa"/>
            <w:bottom w:w="0" w:type="dxa"/>
            <w:right w:w="108" w:type="dxa"/>
          </w:tblCellMar>
        </w:tblPrEx>
        <w:trPr>
          <w:trHeight w:val="439" w:hRule="atLeast"/>
        </w:trPr>
        <w:tc>
          <w:tcPr>
            <w:tcW w:w="1858"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评标项目</w:t>
            </w:r>
          </w:p>
        </w:tc>
        <w:tc>
          <w:tcPr>
            <w:tcW w:w="6962"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olor w:val="000000" w:themeColor="text1"/>
                <w:szCs w:val="21"/>
                <w:lang w:val="en-US"/>
                <w14:textFill>
                  <w14:solidFill>
                    <w14:schemeClr w14:val="tx1"/>
                  </w14:solidFill>
                </w14:textFill>
              </w:rPr>
            </w:pPr>
            <w:r>
              <w:rPr>
                <w:rFonts w:hint="eastAsia" w:asciiTheme="minorEastAsia" w:hAnsiTheme="minorEastAsia" w:eastAsiaTheme="minorEastAsia"/>
                <w:b w:val="0"/>
                <w:bCs w:val="0"/>
                <w:color w:val="000000" w:themeColor="text1"/>
                <w:szCs w:val="21"/>
                <w:lang w:val="en-US" w:eastAsia="zh-CN"/>
                <w14:textFill>
                  <w14:solidFill>
                    <w14:schemeClr w14:val="tx1"/>
                  </w14:solidFill>
                </w14:textFill>
              </w:rPr>
              <w:t>广东亿利达注塑设备采购项目</w:t>
            </w:r>
          </w:p>
        </w:tc>
      </w:tr>
      <w:tr>
        <w:tblPrEx>
          <w:tblCellMar>
            <w:top w:w="0" w:type="dxa"/>
            <w:left w:w="108" w:type="dxa"/>
            <w:bottom w:w="0" w:type="dxa"/>
            <w:right w:w="108" w:type="dxa"/>
          </w:tblCellMar>
        </w:tblPrEx>
        <w:trPr>
          <w:trHeight w:val="455" w:hRule="atLeast"/>
        </w:trPr>
        <w:tc>
          <w:tcPr>
            <w:tcW w:w="50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序号</w:t>
            </w:r>
          </w:p>
        </w:tc>
        <w:tc>
          <w:tcPr>
            <w:tcW w:w="4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分项</w:t>
            </w:r>
          </w:p>
        </w:tc>
        <w:tc>
          <w:tcPr>
            <w:tcW w:w="918"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评审项</w:t>
            </w:r>
          </w:p>
        </w:tc>
        <w:tc>
          <w:tcPr>
            <w:tcW w:w="523"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分数</w:t>
            </w:r>
          </w:p>
        </w:tc>
        <w:tc>
          <w:tcPr>
            <w:tcW w:w="6439"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商务要求</w:t>
            </w:r>
          </w:p>
        </w:tc>
      </w:tr>
      <w:tr>
        <w:tblPrEx>
          <w:tblCellMar>
            <w:top w:w="0" w:type="dxa"/>
            <w:left w:w="108" w:type="dxa"/>
            <w:bottom w:w="0" w:type="dxa"/>
            <w:right w:w="108" w:type="dxa"/>
          </w:tblCellMar>
        </w:tblPrEx>
        <w:trPr>
          <w:trHeight w:val="420" w:hRule="atLeast"/>
        </w:trPr>
        <w:tc>
          <w:tcPr>
            <w:tcW w:w="500" w:type="dxa"/>
            <w:vMerge w:val="continue"/>
            <w:tcBorders>
              <w:top w:val="nil"/>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440" w:type="dxa"/>
            <w:vMerge w:val="continue"/>
            <w:tcBorders>
              <w:top w:val="nil"/>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918" w:type="dxa"/>
            <w:vMerge w:val="continue"/>
            <w:tcBorders>
              <w:top w:val="nil"/>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523" w:type="dxa"/>
            <w:vMerge w:val="continue"/>
            <w:tcBorders>
              <w:top w:val="nil"/>
              <w:left w:val="single" w:color="auto" w:sz="4" w:space="0"/>
              <w:bottom w:val="single" w:color="auto" w:sz="4" w:space="0"/>
              <w:right w:val="single" w:color="auto" w:sz="4" w:space="0"/>
            </w:tcBorders>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2428"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详细说明</w:t>
            </w:r>
          </w:p>
        </w:tc>
        <w:tc>
          <w:tcPr>
            <w:tcW w:w="4011"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评分</w:t>
            </w:r>
          </w:p>
        </w:tc>
      </w:tr>
      <w:tr>
        <w:tblPrEx>
          <w:tblCellMar>
            <w:top w:w="0" w:type="dxa"/>
            <w:left w:w="108" w:type="dxa"/>
            <w:bottom w:w="0" w:type="dxa"/>
            <w:right w:w="108" w:type="dxa"/>
          </w:tblCellMar>
        </w:tblPrEx>
        <w:trPr>
          <w:trHeight w:val="660"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1</w:t>
            </w:r>
          </w:p>
        </w:tc>
        <w:tc>
          <w:tcPr>
            <w:tcW w:w="440" w:type="dxa"/>
            <w:vMerge w:val="restart"/>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商务评审</w:t>
            </w: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报价（万）</w:t>
            </w:r>
            <w:r>
              <w:rPr>
                <w:rFonts w:hint="eastAsia" w:asciiTheme="minorEastAsia" w:hAnsiTheme="minorEastAsia" w:eastAsiaTheme="minorEastAsia"/>
                <w:color w:val="000000" w:themeColor="text1"/>
                <w:szCs w:val="21"/>
                <w14:textFill>
                  <w14:solidFill>
                    <w14:schemeClr w14:val="tx1"/>
                  </w14:solidFill>
                </w14:textFill>
              </w:rPr>
              <w:br w:type="textWrapping"/>
            </w:r>
            <w:r>
              <w:rPr>
                <w:rFonts w:hint="eastAsia" w:asciiTheme="minorEastAsia" w:hAnsiTheme="minorEastAsia" w:eastAsiaTheme="minorEastAsia"/>
                <w:color w:val="000000" w:themeColor="text1"/>
                <w:szCs w:val="21"/>
                <w14:textFill>
                  <w14:solidFill>
                    <w14:schemeClr w14:val="tx1"/>
                  </w14:solidFill>
                </w14:textFill>
              </w:rPr>
              <w:t>（人民币含13%税 ）</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15</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有详细报价清单明细表</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总报价及各个分项报价是否合理，报价范围是否完整，有否重大错漏项，评标委员会认为投标报价出现异常时，有权要求投标人在评标期间对投标报价的详细组成和投标产品的供应渠道等事项作出解释和澄清，并确认其投标报价是否有效。</w:t>
            </w:r>
          </w:p>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2、报价分计算方法：根据各投标人的有效投标报价，以满足招标文件要求且有效投标价格的最低的投标报价为评标基准价，其价格分为</w:t>
            </w:r>
            <w:r>
              <w:rPr>
                <w:rFonts w:hint="eastAsia" w:asciiTheme="minorEastAsia" w:hAnsiTheme="minorEastAsia" w:eastAsiaTheme="minorEastAsia"/>
                <w:color w:val="000000" w:themeColor="text1"/>
                <w:szCs w:val="21"/>
                <w:lang w:val="en-US" w:eastAsia="zh-CN"/>
                <w14:textFill>
                  <w14:solidFill>
                    <w14:schemeClr w14:val="tx1"/>
                  </w14:solidFill>
                </w14:textFill>
              </w:rPr>
              <w:t>15分</w:t>
            </w:r>
            <w:r>
              <w:rPr>
                <w:rFonts w:hint="eastAsia" w:asciiTheme="minorEastAsia" w:hAnsiTheme="minorEastAsia" w:eastAsia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其他投标人的价格分统一按照下列公式计算：投标报价得分＝(评标基准价/有效投标报价)×价格权值×100</w:t>
            </w:r>
            <w:r>
              <w:rPr>
                <w:rFonts w:hint="eastAsia" w:asciiTheme="minorEastAsia" w:hAnsiTheme="minorEastAsia" w:eastAsiaTheme="minorEastAsia"/>
                <w:color w:val="000000" w:themeColor="text1"/>
                <w:szCs w:val="21"/>
                <w:lang w:val="en-US" w:eastAsia="zh-CN"/>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(精确到小数点后二位，由招标</w:t>
            </w:r>
            <w:r>
              <w:rPr>
                <w:rFonts w:hint="eastAsia" w:asciiTheme="minorEastAsia" w:hAnsiTheme="minorEastAsia" w:eastAsiaTheme="minorEastAsia"/>
                <w:color w:val="000000" w:themeColor="text1"/>
                <w:szCs w:val="21"/>
                <w:lang w:val="en-US" w:eastAsia="zh-CN"/>
                <w14:textFill>
                  <w14:solidFill>
                    <w14:schemeClr w14:val="tx1"/>
                  </w14:solidFill>
                </w14:textFill>
              </w:rPr>
              <w:t>单位</w:t>
            </w:r>
            <w:r>
              <w:rPr>
                <w:rFonts w:hint="eastAsia" w:asciiTheme="minorEastAsia" w:hAnsiTheme="minorEastAsia" w:eastAsiaTheme="minorEastAsia"/>
                <w:color w:val="000000" w:themeColor="text1"/>
                <w:szCs w:val="21"/>
                <w14:textFill>
                  <w14:solidFill>
                    <w14:schemeClr w14:val="tx1"/>
                  </w14:solidFill>
                </w14:textFill>
              </w:rPr>
              <w:t>当场统一计算)。</w:t>
            </w:r>
          </w:p>
        </w:tc>
      </w:tr>
      <w:tr>
        <w:tblPrEx>
          <w:tblCellMar>
            <w:top w:w="0" w:type="dxa"/>
            <w:left w:w="108" w:type="dxa"/>
            <w:bottom w:w="0" w:type="dxa"/>
            <w:right w:w="108" w:type="dxa"/>
          </w:tblCellMar>
        </w:tblPrEx>
        <w:trPr>
          <w:trHeight w:val="660"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2</w:t>
            </w:r>
          </w:p>
        </w:tc>
        <w:tc>
          <w:tcPr>
            <w:tcW w:w="440" w:type="dxa"/>
            <w:vMerge w:val="continue"/>
            <w:tcBorders>
              <w:left w:val="nil"/>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体系认证</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2</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EYInterstate Light" w:cs="宋体"/>
                <w:kern w:val="2"/>
                <w:sz w:val="21"/>
                <w:szCs w:val="21"/>
                <w:lang w:val="en-US" w:eastAsia="zh-CN" w:bidi="ar-SA"/>
              </w:rPr>
            </w:pPr>
            <w:r>
              <w:rPr>
                <w:rFonts w:hint="eastAsia" w:ascii="宋体" w:hAnsi="宋体" w:eastAsia="宋体" w:cs="宋体"/>
                <w:szCs w:val="21"/>
                <w:lang w:val="en-US" w:eastAsia="zh-CN"/>
              </w:rPr>
              <w:t>通过</w:t>
            </w:r>
            <w:r>
              <w:rPr>
                <w:rFonts w:hint="eastAsia" w:ascii="EYInterstate Light" w:hAnsi="EYInterstate Light" w:eastAsia="EYInterstate Light" w:cs="中圆体"/>
                <w:color w:val="000000"/>
                <w:kern w:val="2"/>
                <w:sz w:val="21"/>
                <w:szCs w:val="21"/>
                <w:highlight w:val="none"/>
              </w:rPr>
              <w:t>ISO9001</w:t>
            </w:r>
            <w:r>
              <w:rPr>
                <w:rFonts w:hint="eastAsia" w:ascii="EYInterstate Light" w:hAnsi="EYInterstate Light" w:cs="中圆体"/>
                <w:color w:val="000000"/>
                <w:kern w:val="2"/>
                <w:sz w:val="21"/>
                <w:szCs w:val="21"/>
                <w:highlight w:val="none"/>
                <w:lang w:eastAsia="zh-CN"/>
              </w:rPr>
              <w:t>、</w:t>
            </w:r>
            <w:r>
              <w:rPr>
                <w:rFonts w:hint="eastAsia" w:ascii="EYInterstate Light" w:hAnsi="EYInterstate Light" w:eastAsia="EYInterstate Light" w:cs="中圆体"/>
                <w:color w:val="000000"/>
                <w:kern w:val="2"/>
                <w:sz w:val="21"/>
                <w:szCs w:val="21"/>
                <w:highlight w:val="none"/>
              </w:rPr>
              <w:t>ISO14001</w:t>
            </w:r>
            <w:r>
              <w:rPr>
                <w:rFonts w:hint="eastAsia" w:ascii="EYInterstate Light" w:hAnsi="EYInterstate Light" w:cs="中圆体"/>
                <w:color w:val="000000"/>
                <w:kern w:val="2"/>
                <w:sz w:val="21"/>
                <w:szCs w:val="21"/>
                <w:highlight w:val="none"/>
                <w:lang w:val="en-US" w:eastAsia="zh-CN"/>
              </w:rPr>
              <w:t>管理体系认证</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EYInterstate Light" w:hAnsi="EYInterstate Light" w:eastAsia="EYInterstate Light" w:cs="中圆体"/>
                <w:color w:val="000000"/>
                <w:kern w:val="2"/>
                <w:sz w:val="21"/>
                <w:szCs w:val="21"/>
                <w:highlight w:val="none"/>
              </w:rPr>
              <w:t>投标人</w:t>
            </w:r>
            <w:r>
              <w:rPr>
                <w:rFonts w:ascii="EYInterstate Light" w:hAnsi="EYInterstate Light" w:eastAsia="EYInterstate Light" w:cs="中圆体"/>
                <w:color w:val="000000"/>
                <w:kern w:val="2"/>
                <w:sz w:val="21"/>
                <w:szCs w:val="21"/>
                <w:highlight w:val="none"/>
              </w:rPr>
              <w:t>或所提供产品</w:t>
            </w:r>
            <w:r>
              <w:rPr>
                <w:rFonts w:hint="eastAsia" w:ascii="EYInterstate Light" w:hAnsi="EYInterstate Light" w:eastAsia="EYInterstate Light" w:cs="中圆体"/>
                <w:color w:val="000000"/>
                <w:kern w:val="2"/>
                <w:sz w:val="21"/>
                <w:szCs w:val="21"/>
                <w:highlight w:val="none"/>
              </w:rPr>
              <w:t>制造商通过ISO9001质量管理体系的得1分、ISO14001环境管理体系的得1分，满分2分。</w:t>
            </w:r>
          </w:p>
        </w:tc>
      </w:tr>
      <w:tr>
        <w:tblPrEx>
          <w:tblCellMar>
            <w:top w:w="0" w:type="dxa"/>
            <w:left w:w="108" w:type="dxa"/>
            <w:bottom w:w="0" w:type="dxa"/>
            <w:right w:w="108" w:type="dxa"/>
          </w:tblCellMar>
        </w:tblPrEx>
        <w:trPr>
          <w:trHeight w:val="660"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3</w:t>
            </w:r>
          </w:p>
        </w:tc>
        <w:tc>
          <w:tcPr>
            <w:tcW w:w="440" w:type="dxa"/>
            <w:vMerge w:val="continue"/>
            <w:tcBorders>
              <w:left w:val="nil"/>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业绩要求</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5</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投标人需具有2019年04月01日以来签订的同类产品业绩，</w:t>
            </w:r>
            <w:r>
              <w:rPr>
                <w:rFonts w:ascii="EYInterstate Light" w:hAnsi="EYInterstate Light" w:eastAsia="EYInterstate Light" w:cs="中圆体"/>
                <w:color w:val="000000"/>
                <w:kern w:val="2"/>
                <w:sz w:val="21"/>
                <w:szCs w:val="21"/>
                <w:highlight w:val="none"/>
              </w:rPr>
              <w:t>以中标通知书或合同的复印件为准</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提供一家得1分，总分不超过5分</w:t>
            </w:r>
          </w:p>
        </w:tc>
      </w:tr>
      <w:tr>
        <w:tblPrEx>
          <w:tblCellMar>
            <w:top w:w="0" w:type="dxa"/>
            <w:left w:w="108" w:type="dxa"/>
            <w:bottom w:w="0" w:type="dxa"/>
            <w:right w:w="108" w:type="dxa"/>
          </w:tblCellMar>
        </w:tblPrEx>
        <w:trPr>
          <w:trHeight w:val="720"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4</w:t>
            </w:r>
          </w:p>
        </w:tc>
        <w:tc>
          <w:tcPr>
            <w:tcW w:w="440" w:type="dxa"/>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注册资金</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按照营业执照评审</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注册资金≥</w:t>
            </w:r>
            <w:r>
              <w:rPr>
                <w:rFonts w:hint="eastAsia" w:asciiTheme="minorEastAsia" w:hAnsiTheme="minorEastAsia" w:eastAsiaTheme="minorEastAsia"/>
                <w:color w:val="000000" w:themeColor="text1"/>
                <w:szCs w:val="21"/>
                <w:lang w:val="en-US" w:eastAsia="zh-CN"/>
                <w14:textFill>
                  <w14:solidFill>
                    <w14:schemeClr w14:val="tx1"/>
                  </w14:solidFill>
                </w14:textFill>
              </w:rPr>
              <w:t>500</w:t>
            </w:r>
            <w:r>
              <w:rPr>
                <w:rFonts w:hint="eastAsia" w:asciiTheme="minorEastAsia" w:hAnsiTheme="minorEastAsia" w:eastAsiaTheme="minorEastAsia"/>
                <w:color w:val="000000" w:themeColor="text1"/>
                <w:szCs w:val="21"/>
                <w14:textFill>
                  <w14:solidFill>
                    <w14:schemeClr w14:val="tx1"/>
                  </w14:solidFill>
                </w14:textFill>
              </w:rPr>
              <w:t>万   得分2分</w:t>
            </w:r>
          </w:p>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注册资金＜</w:t>
            </w:r>
            <w:r>
              <w:rPr>
                <w:rFonts w:hint="eastAsia" w:asciiTheme="minorEastAsia" w:hAnsiTheme="minorEastAsia" w:eastAsiaTheme="minorEastAsia"/>
                <w:color w:val="000000" w:themeColor="text1"/>
                <w:szCs w:val="21"/>
                <w:lang w:val="en-US" w:eastAsia="zh-CN"/>
                <w14:textFill>
                  <w14:solidFill>
                    <w14:schemeClr w14:val="tx1"/>
                  </w14:solidFill>
                </w14:textFill>
              </w:rPr>
              <w:t>500</w:t>
            </w:r>
            <w:r>
              <w:rPr>
                <w:rFonts w:hint="eastAsia" w:asciiTheme="minorEastAsia" w:hAnsiTheme="minorEastAsia" w:eastAsiaTheme="minorEastAsia"/>
                <w:color w:val="000000" w:themeColor="text1"/>
                <w:szCs w:val="21"/>
                <w14:textFill>
                  <w14:solidFill>
                    <w14:schemeClr w14:val="tx1"/>
                  </w14:solidFill>
                </w14:textFill>
              </w:rPr>
              <w:t>万  不得分</w:t>
            </w:r>
          </w:p>
        </w:tc>
      </w:tr>
      <w:tr>
        <w:tblPrEx>
          <w:tblCellMar>
            <w:top w:w="0" w:type="dxa"/>
            <w:left w:w="108" w:type="dxa"/>
            <w:bottom w:w="0" w:type="dxa"/>
            <w:right w:w="108" w:type="dxa"/>
          </w:tblCellMar>
        </w:tblPrEx>
        <w:trPr>
          <w:trHeight w:val="833"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5</w:t>
            </w:r>
          </w:p>
        </w:tc>
        <w:tc>
          <w:tcPr>
            <w:tcW w:w="440" w:type="dxa"/>
            <w:vMerge w:val="continue"/>
            <w:tcBorders>
              <w:top w:val="single" w:color="auto" w:sz="4" w:space="0"/>
              <w:left w:val="nil"/>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付款方式</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5</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合同签订后</w:t>
            </w:r>
            <w:r>
              <w:rPr>
                <w:rFonts w:hint="eastAsia" w:asciiTheme="minorEastAsia" w:hAnsiTheme="minorEastAsia" w:eastAsiaTheme="minorEastAsia"/>
                <w:color w:val="000000" w:themeColor="text1"/>
                <w:szCs w:val="21"/>
                <w:lang w:val="en-US" w:eastAsia="zh-CN"/>
                <w14:textFill>
                  <w14:solidFill>
                    <w14:schemeClr w14:val="tx1"/>
                  </w14:solidFill>
                </w14:textFill>
              </w:rPr>
              <w:t>15个工作日</w:t>
            </w:r>
            <w:r>
              <w:rPr>
                <w:rFonts w:hint="eastAsia" w:asciiTheme="minorEastAsia" w:hAnsiTheme="minorEastAsia" w:eastAsiaTheme="minorEastAsia"/>
                <w:color w:val="000000" w:themeColor="text1"/>
                <w:szCs w:val="21"/>
                <w14:textFill>
                  <w14:solidFill>
                    <w14:schemeClr w14:val="tx1"/>
                  </w14:solidFill>
                </w14:textFill>
              </w:rPr>
              <w:t>付合同总金额的30%，预验收合格后</w:t>
            </w:r>
            <w:r>
              <w:rPr>
                <w:rFonts w:hint="eastAsia" w:asciiTheme="minorEastAsia" w:hAnsiTheme="minorEastAsia" w:eastAsiaTheme="minorEastAsia"/>
                <w:color w:val="000000" w:themeColor="text1"/>
                <w:szCs w:val="21"/>
                <w:lang w:val="en-US" w:eastAsia="zh-CN"/>
                <w14:textFill>
                  <w14:solidFill>
                    <w14:schemeClr w14:val="tx1"/>
                  </w14:solidFill>
                </w14:textFill>
              </w:rPr>
              <w:t>15个工作日</w:t>
            </w:r>
            <w:r>
              <w:rPr>
                <w:rFonts w:hint="eastAsia" w:asciiTheme="minorEastAsia" w:hAnsiTheme="minorEastAsia" w:eastAsiaTheme="minorEastAsia"/>
                <w:color w:val="000000" w:themeColor="text1"/>
                <w:szCs w:val="21"/>
                <w14:textFill>
                  <w14:solidFill>
                    <w14:schemeClr w14:val="tx1"/>
                  </w14:solidFill>
                </w14:textFill>
              </w:rPr>
              <w:t>付合同总金额的30%，终验收合格后</w:t>
            </w:r>
            <w:r>
              <w:rPr>
                <w:rFonts w:hint="eastAsia" w:asciiTheme="minorEastAsia" w:hAnsiTheme="minorEastAsia" w:eastAsiaTheme="minorEastAsia"/>
                <w:color w:val="000000" w:themeColor="text1"/>
                <w:szCs w:val="21"/>
                <w:lang w:val="en-US" w:eastAsia="zh-CN"/>
                <w14:textFill>
                  <w14:solidFill>
                    <w14:schemeClr w14:val="tx1"/>
                  </w14:solidFill>
                </w14:textFill>
              </w:rPr>
              <w:t>15个工作日</w:t>
            </w:r>
            <w:r>
              <w:rPr>
                <w:rFonts w:hint="eastAsia" w:asciiTheme="minorEastAsia" w:hAnsiTheme="minorEastAsia" w:eastAsiaTheme="minorEastAsia"/>
                <w:color w:val="000000" w:themeColor="text1"/>
                <w:szCs w:val="21"/>
                <w14:textFill>
                  <w14:solidFill>
                    <w14:schemeClr w14:val="tx1"/>
                  </w14:solidFill>
                </w14:textFill>
              </w:rPr>
              <w:t>付合同总金额的30%，同时开具合同额100%的增值税专用发票,质保期24个月满且无质量问题后付合同总金额的10%。</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响应要求则得分</w:t>
            </w:r>
            <w:r>
              <w:rPr>
                <w:rFonts w:hint="eastAsia" w:asciiTheme="minorEastAsia" w:hAnsiTheme="minorEastAsia" w:eastAsiaTheme="minorEastAsia"/>
                <w:color w:val="000000" w:themeColor="text1"/>
                <w:szCs w:val="21"/>
                <w:lang w:val="en-US" w:eastAsia="zh-CN"/>
                <w14:textFill>
                  <w14:solidFill>
                    <w14:schemeClr w14:val="tx1"/>
                  </w14:solidFill>
                </w14:textFill>
              </w:rPr>
              <w:t>5</w:t>
            </w:r>
            <w:r>
              <w:rPr>
                <w:rFonts w:hint="eastAsia" w:asciiTheme="minorEastAsia" w:hAnsiTheme="minorEastAsia" w:eastAsiaTheme="minorEastAsia"/>
                <w:color w:val="000000" w:themeColor="text1"/>
                <w:szCs w:val="21"/>
                <w14:textFill>
                  <w14:solidFill>
                    <w14:schemeClr w14:val="tx1"/>
                  </w14:solidFill>
                </w14:textFill>
              </w:rPr>
              <w:t>分</w:t>
            </w:r>
            <w:r>
              <w:rPr>
                <w:rFonts w:hint="eastAsia" w:asciiTheme="minorEastAsia" w:hAnsiTheme="minorEastAsia" w:eastAsiaTheme="minorEastAsia"/>
                <w:color w:val="000000" w:themeColor="text1"/>
                <w:szCs w:val="21"/>
                <w:lang w:eastAsia="zh-CN"/>
                <w14:textFill>
                  <w14:solidFill>
                    <w14:schemeClr w14:val="tx1"/>
                  </w14:solidFill>
                </w14:textFill>
              </w:rPr>
              <w:t>；</w:t>
            </w:r>
          </w:p>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不符合要求则得依据付款条件：1</w:t>
            </w:r>
            <w:r>
              <w:rPr>
                <w:rFonts w:hint="eastAsia" w:asciiTheme="minorEastAsia" w:hAnsiTheme="minorEastAsia" w:eastAsiaTheme="minorEastAsia"/>
                <w:color w:val="000000" w:themeColor="text1"/>
                <w:szCs w:val="21"/>
                <w:lang w:val="en-US" w:eastAsia="zh-CN"/>
                <w14:textFill>
                  <w14:solidFill>
                    <w14:schemeClr w14:val="tx1"/>
                  </w14:solidFill>
                </w14:textFill>
              </w:rPr>
              <w:t>-4</w:t>
            </w:r>
            <w:r>
              <w:rPr>
                <w:rFonts w:hint="eastAsia" w:asciiTheme="minorEastAsia" w:hAnsiTheme="minorEastAsia" w:eastAsiaTheme="minorEastAsia"/>
                <w:color w:val="000000" w:themeColor="text1"/>
                <w:szCs w:val="21"/>
                <w14:textFill>
                  <w14:solidFill>
                    <w14:schemeClr w14:val="tx1"/>
                  </w14:solidFill>
                </w14:textFill>
              </w:rPr>
              <w:t>分</w:t>
            </w:r>
            <w:r>
              <w:rPr>
                <w:rFonts w:hint="eastAsia" w:asciiTheme="minorEastAsia" w:hAnsiTheme="minorEastAsia" w:eastAsiaTheme="minorEastAsia"/>
                <w:color w:val="000000" w:themeColor="text1"/>
                <w:szCs w:val="21"/>
                <w:lang w:eastAsia="zh-CN"/>
                <w14:textFill>
                  <w14:solidFill>
                    <w14:schemeClr w14:val="tx1"/>
                  </w14:solidFill>
                </w14:textFill>
              </w:rPr>
              <w:t>；</w:t>
            </w:r>
          </w:p>
        </w:tc>
      </w:tr>
      <w:tr>
        <w:tblPrEx>
          <w:tblCellMar>
            <w:top w:w="0" w:type="dxa"/>
            <w:left w:w="108" w:type="dxa"/>
            <w:bottom w:w="0" w:type="dxa"/>
            <w:right w:w="108" w:type="dxa"/>
          </w:tblCellMar>
        </w:tblPrEx>
        <w:trPr>
          <w:trHeight w:val="720"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6</w:t>
            </w:r>
          </w:p>
        </w:tc>
        <w:tc>
          <w:tcPr>
            <w:tcW w:w="440" w:type="dxa"/>
            <w:vMerge w:val="continue"/>
            <w:tcBorders>
              <w:left w:val="nil"/>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质保期</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2</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设备自验收合格之日起，质保期</w:t>
            </w:r>
            <w:r>
              <w:rPr>
                <w:rFonts w:hint="eastAsia" w:asciiTheme="minorEastAsia" w:hAnsiTheme="minorEastAsia" w:eastAsiaTheme="minorEastAsia"/>
                <w:color w:val="000000" w:themeColor="text1"/>
                <w:szCs w:val="21"/>
                <w:lang w:val="en-US" w:eastAsia="zh-CN"/>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年</w:t>
            </w:r>
            <w:r>
              <w:rPr>
                <w:rFonts w:hint="eastAsia" w:asciiTheme="minorEastAsia" w:hAnsiTheme="minorEastAsia" w:eastAsiaTheme="minorEastAsia"/>
                <w:color w:val="000000" w:themeColor="text1"/>
                <w:szCs w:val="21"/>
                <w:lang w:eastAsia="zh-CN"/>
                <w14:textFill>
                  <w14:solidFill>
                    <w14:schemeClr w14:val="tx1"/>
                  </w14:solidFill>
                </w14:textFill>
              </w:rPr>
              <w:t>；</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响应要求则得分</w:t>
            </w:r>
            <w:r>
              <w:rPr>
                <w:rFonts w:hint="eastAsia" w:asciiTheme="minorEastAsia" w:hAnsiTheme="minorEastAsia" w:eastAsiaTheme="minorEastAsia"/>
                <w:color w:val="000000" w:themeColor="text1"/>
                <w:szCs w:val="21"/>
                <w:lang w:val="en-US" w:eastAsia="zh-CN"/>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分</w:t>
            </w:r>
            <w:r>
              <w:rPr>
                <w:rFonts w:hint="eastAsia" w:asciiTheme="minorEastAsia" w:hAnsiTheme="minorEastAsia" w:eastAsiaTheme="minorEastAsia"/>
                <w:color w:val="000000" w:themeColor="text1"/>
                <w:szCs w:val="21"/>
                <w:lang w:eastAsia="zh-CN"/>
                <w14:textFill>
                  <w14:solidFill>
                    <w14:schemeClr w14:val="tx1"/>
                  </w14:solidFill>
                </w14:textFill>
              </w:rPr>
              <w:t>；</w:t>
            </w:r>
          </w:p>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不符合要求则得</w:t>
            </w:r>
            <w:r>
              <w:rPr>
                <w:rFonts w:hint="eastAsia" w:asciiTheme="minorEastAsia" w:hAnsiTheme="minorEastAsia" w:eastAsiaTheme="minorEastAsia"/>
                <w:color w:val="000000" w:themeColor="text1"/>
                <w:szCs w:val="21"/>
                <w:lang w:val="en-US" w:eastAsia="zh-CN"/>
                <w14:textFill>
                  <w14:solidFill>
                    <w14:schemeClr w14:val="tx1"/>
                  </w14:solidFill>
                </w14:textFill>
              </w:rPr>
              <w:t>0</w:t>
            </w:r>
            <w:r>
              <w:rPr>
                <w:rFonts w:hint="eastAsia" w:asciiTheme="minorEastAsia" w:hAnsiTheme="minorEastAsia" w:eastAsiaTheme="minorEastAsia"/>
                <w:color w:val="000000" w:themeColor="text1"/>
                <w:szCs w:val="21"/>
                <w14:textFill>
                  <w14:solidFill>
                    <w14:schemeClr w14:val="tx1"/>
                  </w14:solidFill>
                </w14:textFill>
              </w:rPr>
              <w:t>分</w:t>
            </w:r>
            <w:r>
              <w:rPr>
                <w:rFonts w:hint="eastAsia" w:asciiTheme="minorEastAsia" w:hAnsiTheme="minorEastAsia" w:eastAsiaTheme="minorEastAsia"/>
                <w:color w:val="000000" w:themeColor="text1"/>
                <w:szCs w:val="21"/>
                <w:lang w:eastAsia="zh-CN"/>
                <w14:textFill>
                  <w14:solidFill>
                    <w14:schemeClr w14:val="tx1"/>
                  </w14:solidFill>
                </w14:textFill>
              </w:rPr>
              <w:t>；</w:t>
            </w:r>
          </w:p>
        </w:tc>
      </w:tr>
      <w:tr>
        <w:tblPrEx>
          <w:tblCellMar>
            <w:top w:w="0" w:type="dxa"/>
            <w:left w:w="108" w:type="dxa"/>
            <w:bottom w:w="0" w:type="dxa"/>
            <w:right w:w="108" w:type="dxa"/>
          </w:tblCellMar>
        </w:tblPrEx>
        <w:trPr>
          <w:trHeight w:val="702"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7</w:t>
            </w:r>
          </w:p>
        </w:tc>
        <w:tc>
          <w:tcPr>
            <w:tcW w:w="440" w:type="dxa"/>
            <w:vMerge w:val="continue"/>
            <w:tcBorders>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开票种类及税率</w:t>
            </w:r>
            <w:r>
              <w:rPr>
                <w:rFonts w:hint="eastAsia" w:asciiTheme="minorEastAsia" w:hAnsiTheme="minorEastAsia" w:eastAsiaTheme="minorEastAsia"/>
                <w:color w:val="000000" w:themeColor="text1"/>
                <w:szCs w:val="21"/>
                <w14:textFill>
                  <w14:solidFill>
                    <w14:schemeClr w14:val="tx1"/>
                  </w14:solidFill>
                </w14:textFill>
              </w:rPr>
              <w:br w:type="textWrapping"/>
            </w:r>
            <w:r>
              <w:rPr>
                <w:rFonts w:hint="eastAsia" w:asciiTheme="minorEastAsia" w:hAnsiTheme="minorEastAsia" w:eastAsiaTheme="minorEastAsia"/>
                <w:color w:val="000000" w:themeColor="text1"/>
                <w:szCs w:val="21"/>
                <w14:textFill>
                  <w14:solidFill>
                    <w14:schemeClr w14:val="tx1"/>
                  </w14:solidFill>
                </w14:textFill>
              </w:rPr>
              <w:t>工期/交货期</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3</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国内：13%增值税专用发票</w:t>
            </w:r>
            <w:r>
              <w:rPr>
                <w:rFonts w:hint="eastAsia" w:asciiTheme="minorEastAsia" w:hAnsiTheme="minorEastAsia" w:eastAsia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olor w:val="000000" w:themeColor="text1"/>
                <w:szCs w:val="21"/>
                <w:lang w:val="en-US" w:eastAsia="zh-CN"/>
                <w14:textFill>
                  <w14:solidFill>
                    <w14:schemeClr w14:val="tx1"/>
                  </w14:solidFill>
                </w14:textFill>
              </w:rPr>
              <w:t>工期/交货期按合同要求；</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响应要求则得分</w:t>
            </w:r>
            <w:r>
              <w:rPr>
                <w:rFonts w:hint="eastAsia" w:asciiTheme="minorEastAsia" w:hAnsiTheme="minorEastAsia" w:eastAsiaTheme="minorEastAsia"/>
                <w:color w:val="000000" w:themeColor="text1"/>
                <w:szCs w:val="21"/>
                <w:lang w:val="en-US" w:eastAsia="zh-CN"/>
                <w14:textFill>
                  <w14:solidFill>
                    <w14:schemeClr w14:val="tx1"/>
                  </w14:solidFill>
                </w14:textFill>
              </w:rPr>
              <w:t>3</w:t>
            </w:r>
            <w:r>
              <w:rPr>
                <w:rFonts w:hint="eastAsia" w:asciiTheme="minorEastAsia" w:hAnsiTheme="minorEastAsia" w:eastAsiaTheme="minorEastAsia"/>
                <w:color w:val="000000" w:themeColor="text1"/>
                <w:szCs w:val="21"/>
                <w14:textFill>
                  <w14:solidFill>
                    <w14:schemeClr w14:val="tx1"/>
                  </w14:solidFill>
                </w14:textFill>
              </w:rPr>
              <w:t>分</w:t>
            </w:r>
            <w:r>
              <w:rPr>
                <w:rFonts w:hint="eastAsia" w:asciiTheme="minorEastAsia" w:hAnsiTheme="minorEastAsia" w:eastAsiaTheme="minorEastAsia"/>
                <w:color w:val="000000" w:themeColor="text1"/>
                <w:szCs w:val="21"/>
                <w:lang w:eastAsia="zh-CN"/>
                <w14:textFill>
                  <w14:solidFill>
                    <w14:schemeClr w14:val="tx1"/>
                  </w14:solidFill>
                </w14:textFill>
              </w:rPr>
              <w:t>；</w:t>
            </w:r>
          </w:p>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不符合要求则得</w:t>
            </w:r>
            <w:r>
              <w:rPr>
                <w:rFonts w:hint="eastAsia" w:asciiTheme="minorEastAsia" w:hAnsiTheme="minorEastAsia" w:eastAsiaTheme="minorEastAsia"/>
                <w:color w:val="000000" w:themeColor="text1"/>
                <w:szCs w:val="21"/>
                <w:lang w:val="en-US" w:eastAsia="zh-CN"/>
                <w14:textFill>
                  <w14:solidFill>
                    <w14:schemeClr w14:val="tx1"/>
                  </w14:solidFill>
                </w14:textFill>
              </w:rPr>
              <w:t>0</w:t>
            </w:r>
            <w:r>
              <w:rPr>
                <w:rFonts w:hint="eastAsia" w:asciiTheme="minorEastAsia" w:hAnsiTheme="minorEastAsia" w:eastAsiaTheme="minorEastAsia"/>
                <w:color w:val="000000" w:themeColor="text1"/>
                <w:szCs w:val="21"/>
                <w14:textFill>
                  <w14:solidFill>
                    <w14:schemeClr w14:val="tx1"/>
                  </w14:solidFill>
                </w14:textFill>
              </w:rPr>
              <w:t>分</w:t>
            </w:r>
            <w:r>
              <w:rPr>
                <w:rFonts w:hint="eastAsia" w:asciiTheme="minorEastAsia" w:hAnsiTheme="minorEastAsia" w:eastAsiaTheme="minorEastAsia"/>
                <w:color w:val="000000" w:themeColor="text1"/>
                <w:szCs w:val="21"/>
                <w:lang w:eastAsia="zh-CN"/>
                <w14:textFill>
                  <w14:solidFill>
                    <w14:schemeClr w14:val="tx1"/>
                  </w14:solidFill>
                </w14:textFill>
              </w:rPr>
              <w:t>；</w:t>
            </w:r>
          </w:p>
        </w:tc>
      </w:tr>
      <w:tr>
        <w:tblPrEx>
          <w:tblCellMar>
            <w:top w:w="0" w:type="dxa"/>
            <w:left w:w="108" w:type="dxa"/>
            <w:bottom w:w="0" w:type="dxa"/>
            <w:right w:w="108" w:type="dxa"/>
          </w:tblCellMar>
        </w:tblPrEx>
        <w:trPr>
          <w:trHeight w:val="274" w:hRule="atLeast"/>
        </w:trPr>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8</w:t>
            </w:r>
          </w:p>
        </w:tc>
        <w:tc>
          <w:tcPr>
            <w:tcW w:w="440" w:type="dxa"/>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91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售后服务</w:t>
            </w:r>
          </w:p>
        </w:tc>
        <w:tc>
          <w:tcPr>
            <w:tcW w:w="523"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6</w:t>
            </w:r>
          </w:p>
        </w:tc>
        <w:tc>
          <w:tcPr>
            <w:tcW w:w="2428"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设备使用寿命期内，投标人应保证对招标人设备终身提供维修服务，并保证设备零配件，易损件的供应。质保期内当设备发生故障时，投标人在收到招标人设备故障通知应在</w:t>
            </w:r>
            <w:r>
              <w:rPr>
                <w:rFonts w:hint="eastAsia" w:asciiTheme="minorEastAsia" w:hAnsiTheme="minorEastAsia" w:eastAsiaTheme="minorEastAsia"/>
                <w:color w:val="000000" w:themeColor="text1"/>
                <w:szCs w:val="21"/>
                <w:lang w:val="en-US" w:eastAsia="zh-CN"/>
                <w14:textFill>
                  <w14:solidFill>
                    <w14:schemeClr w14:val="tx1"/>
                  </w14:solidFill>
                </w14:textFill>
              </w:rPr>
              <w:t>24</w:t>
            </w:r>
            <w:r>
              <w:rPr>
                <w:rFonts w:hint="eastAsia" w:asciiTheme="minorEastAsia" w:hAnsiTheme="minorEastAsia" w:eastAsiaTheme="minorEastAsia"/>
                <w:color w:val="000000" w:themeColor="text1"/>
                <w:szCs w:val="21"/>
                <w14:textFill>
                  <w14:solidFill>
                    <w14:schemeClr w14:val="tx1"/>
                  </w14:solidFill>
                </w14:textFill>
              </w:rPr>
              <w:t>小时内作出响</w:t>
            </w:r>
            <w:r>
              <w:rPr>
                <w:rFonts w:hint="eastAsia" w:asciiTheme="minorEastAsia" w:hAnsiTheme="minorEastAsia" w:eastAsiaTheme="minorEastAsia"/>
                <w:color w:val="000000" w:themeColor="text1"/>
                <w:szCs w:val="21"/>
                <w:lang w:val="en-US" w:eastAsia="zh-CN"/>
                <w14:textFill>
                  <w14:solidFill>
                    <w14:schemeClr w14:val="tx1"/>
                  </w14:solidFill>
                </w14:textFill>
              </w:rPr>
              <w:t>应，</w:t>
            </w:r>
            <w:r>
              <w:rPr>
                <w:rFonts w:hint="eastAsia" w:asciiTheme="minorEastAsia" w:hAnsiTheme="minorEastAsia" w:eastAsiaTheme="minorEastAsia"/>
                <w:color w:val="000000" w:themeColor="text1"/>
                <w:szCs w:val="21"/>
                <w14:textFill>
                  <w14:solidFill>
                    <w14:schemeClr w14:val="tx1"/>
                  </w14:solidFill>
                </w14:textFill>
              </w:rPr>
              <w:t>需到现场时时内派人到达招标人使用现场。</w:t>
            </w:r>
          </w:p>
        </w:tc>
        <w:tc>
          <w:tcPr>
            <w:tcW w:w="4011" w:type="dxa"/>
            <w:tcBorders>
              <w:top w:val="single" w:color="auto" w:sz="4" w:space="0"/>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投标人提供的针对招标人技术人员培训的服务内容、培训计划，投标人提供的售后服务保障措施情况（如售后服务响应时间、故障修复时间、服务保障方案、专业服务力量等）、质保期技术回访方案等进行总体评分。</w:t>
            </w:r>
          </w:p>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优：</w:t>
            </w:r>
            <w:r>
              <w:rPr>
                <w:rFonts w:hint="eastAsia" w:asciiTheme="minorEastAsia" w:hAnsiTheme="minorEastAsia" w:eastAsiaTheme="minorEastAsia"/>
                <w:color w:val="000000" w:themeColor="text1"/>
                <w:szCs w:val="21"/>
                <w:lang w:val="en-US" w:eastAsia="zh-CN"/>
                <w14:textFill>
                  <w14:solidFill>
                    <w14:schemeClr w14:val="tx1"/>
                  </w14:solidFill>
                </w14:textFill>
              </w:rPr>
              <w:t>6</w:t>
            </w:r>
            <w:r>
              <w:rPr>
                <w:rFonts w:hint="eastAsia" w:asciiTheme="minorEastAsia" w:hAnsiTheme="minorEastAsia" w:eastAsiaTheme="minorEastAsia"/>
                <w:color w:val="000000" w:themeColor="text1"/>
                <w:szCs w:val="21"/>
                <w14:textFill>
                  <w14:solidFill>
                    <w14:schemeClr w14:val="tx1"/>
                  </w14:solidFill>
                </w14:textFill>
              </w:rPr>
              <w:t>分；</w:t>
            </w:r>
          </w:p>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良：</w:t>
            </w:r>
            <w:r>
              <w:rPr>
                <w:rFonts w:hint="eastAsia" w:asciiTheme="minorEastAsia" w:hAnsiTheme="minorEastAsia" w:eastAsiaTheme="minorEastAsia"/>
                <w:color w:val="000000" w:themeColor="text1"/>
                <w:szCs w:val="21"/>
                <w:lang w:val="en-US" w:eastAsia="zh-CN"/>
                <w14:textFill>
                  <w14:solidFill>
                    <w14:schemeClr w14:val="tx1"/>
                  </w14:solidFill>
                </w14:textFill>
              </w:rPr>
              <w:t>3-5</w:t>
            </w:r>
            <w:r>
              <w:rPr>
                <w:rFonts w:hint="eastAsia" w:asciiTheme="minorEastAsia" w:hAnsiTheme="minorEastAsia" w:eastAsiaTheme="minorEastAsia"/>
                <w:color w:val="000000" w:themeColor="text1"/>
                <w:szCs w:val="21"/>
                <w14:textFill>
                  <w14:solidFill>
                    <w14:schemeClr w14:val="tx1"/>
                  </w14:solidFill>
                </w14:textFill>
              </w:rPr>
              <w:t>分；</w:t>
            </w:r>
          </w:p>
          <w:p>
            <w:pPr>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一般：0</w:t>
            </w:r>
            <w:r>
              <w:rPr>
                <w:rFonts w:hint="eastAsia" w:asciiTheme="minorEastAsia" w:hAnsiTheme="minorEastAsia" w:eastAsiaTheme="minorEastAsia"/>
                <w:color w:val="000000" w:themeColor="text1"/>
                <w:szCs w:val="21"/>
                <w:lang w:val="en-US" w:eastAsia="zh-CN"/>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2分</w:t>
            </w:r>
            <w:r>
              <w:rPr>
                <w:rFonts w:hint="eastAsia" w:asciiTheme="minorEastAsia" w:hAnsiTheme="minorEastAsia" w:eastAsiaTheme="minorEastAsia"/>
                <w:color w:val="000000" w:themeColor="text1"/>
                <w:szCs w:val="21"/>
                <w:lang w:eastAsia="zh-CN"/>
                <w14:textFill>
                  <w14:solidFill>
                    <w14:schemeClr w14:val="tx1"/>
                  </w14:solidFill>
                </w14:textFill>
              </w:rPr>
              <w:t>。</w:t>
            </w:r>
          </w:p>
        </w:tc>
      </w:tr>
    </w:tbl>
    <w:p>
      <w:pPr>
        <w:rPr>
          <w:rFonts w:asciiTheme="minorEastAsia" w:hAnsiTheme="minorEastAsia" w:eastAsiaTheme="minorEastAsia"/>
          <w:color w:val="000000" w:themeColor="text1"/>
          <w:szCs w:val="21"/>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rPr>
          <w:rFonts w:asciiTheme="minorEastAsia" w:hAnsiTheme="minorEastAsia" w:eastAsiaTheme="minorEastAsia"/>
          <w:color w:val="000000" w:themeColor="text1"/>
          <w:szCs w:val="21"/>
          <w14:textFill>
            <w14:solidFill>
              <w14:schemeClr w14:val="tx1"/>
            </w14:solidFill>
          </w14:textFill>
        </w:rPr>
      </w:pPr>
    </w:p>
    <w:p>
      <w:pPr>
        <w:adjustRightInd w:val="0"/>
        <w:snapToGrid w:val="0"/>
        <w:spacing w:line="360" w:lineRule="auto"/>
        <w:ind w:firstLine="472" w:firstLineChars="225"/>
        <w:jc w:val="left"/>
        <w:rPr>
          <w:rFonts w:ascii="EYInterstate Light" w:hAnsi="EYInterstate Light"/>
          <w:b/>
          <w:snapToGrid w:val="0"/>
          <w:color w:val="000000" w:themeColor="text1"/>
          <w:kern w:val="0"/>
          <w:szCs w:val="21"/>
          <w14:textFill>
            <w14:solidFill>
              <w14:schemeClr w14:val="tx1"/>
            </w14:solidFill>
          </w14:textFill>
        </w:rPr>
      </w:pPr>
      <w:r>
        <w:rPr>
          <w:rFonts w:hint="eastAsia" w:ascii="EYInterstate Light" w:hAnsi="EYInterstate Light"/>
          <w:b/>
          <w:snapToGrid w:val="0"/>
          <w:color w:val="000000" w:themeColor="text1"/>
          <w:kern w:val="0"/>
          <w:szCs w:val="21"/>
          <w14:textFill>
            <w14:solidFill>
              <w14:schemeClr w14:val="tx1"/>
            </w14:solidFill>
          </w14:textFill>
        </w:rPr>
        <w:t>备注：</w:t>
      </w:r>
    </w:p>
    <w:p>
      <w:pPr>
        <w:adjustRightInd w:val="0"/>
        <w:snapToGrid w:val="0"/>
        <w:spacing w:line="360" w:lineRule="auto"/>
        <w:ind w:firstLine="420" w:firstLineChars="200"/>
        <w:rPr>
          <w:rFonts w:ascii="EYInterstate Light" w:hAnsi="EYInterstate Light"/>
          <w:snapToGrid w:val="0"/>
          <w:color w:val="000000" w:themeColor="text1"/>
          <w:kern w:val="0"/>
          <w:szCs w:val="21"/>
          <w14:textFill>
            <w14:solidFill>
              <w14:schemeClr w14:val="tx1"/>
            </w14:solidFill>
          </w14:textFill>
        </w:rPr>
      </w:pPr>
      <w:r>
        <w:rPr>
          <w:rFonts w:hint="eastAsia" w:ascii="EYInterstate Light" w:hAnsi="EYInterstate Light"/>
          <w:snapToGrid w:val="0"/>
          <w:color w:val="000000" w:themeColor="text1"/>
          <w:kern w:val="0"/>
          <w:szCs w:val="21"/>
          <w14:textFill>
            <w14:solidFill>
              <w14:schemeClr w14:val="tx1"/>
            </w14:solidFill>
          </w14:textFill>
        </w:rPr>
        <w:t>投标人的最终总得分为商务</w:t>
      </w:r>
      <w:r>
        <w:rPr>
          <w:rFonts w:hint="eastAsia" w:ascii="EYInterstate Light" w:hAnsi="EYInterstate Light" w:eastAsia="宋体"/>
          <w:snapToGrid w:val="0"/>
          <w:color w:val="000000" w:themeColor="text1"/>
          <w:kern w:val="0"/>
          <w:szCs w:val="21"/>
          <w14:textFill>
            <w14:solidFill>
              <w14:schemeClr w14:val="tx1"/>
            </w14:solidFill>
          </w14:textFill>
        </w:rPr>
        <w:t>和</w:t>
      </w:r>
      <w:r>
        <w:rPr>
          <w:rFonts w:hint="eastAsia" w:ascii="EYInterstate Light" w:hAnsi="EYInterstate Light"/>
          <w:snapToGrid w:val="0"/>
          <w:color w:val="000000" w:themeColor="text1"/>
          <w:kern w:val="0"/>
          <w:szCs w:val="21"/>
          <w14:textFill>
            <w14:solidFill>
              <w14:schemeClr w14:val="tx1"/>
            </w14:solidFill>
          </w14:textFill>
        </w:rPr>
        <w:t>技术总和。</w:t>
      </w:r>
    </w:p>
    <w:p>
      <w:pPr>
        <w:tabs>
          <w:tab w:val="left" w:pos="709"/>
        </w:tabs>
        <w:adjustRightInd w:val="0"/>
        <w:snapToGrid w:val="0"/>
        <w:spacing w:line="360" w:lineRule="auto"/>
        <w:ind w:firstLine="420" w:firstLineChars="200"/>
        <w:rPr>
          <w:rFonts w:hint="default" w:ascii="EYInterstate Light" w:hAnsi="EYInterstate Light" w:eastAsia="EYInterstate Light"/>
          <w:b/>
          <w:snapToGrid w:val="0"/>
          <w:color w:val="000000" w:themeColor="text1"/>
          <w:kern w:val="0"/>
          <w:szCs w:val="21"/>
          <w:lang w:val="en-US" w:eastAsia="zh-CN"/>
          <w14:textFill>
            <w14:solidFill>
              <w14:schemeClr w14:val="tx1"/>
            </w14:solidFill>
          </w14:textFill>
        </w:rPr>
      </w:pPr>
      <w:r>
        <w:rPr>
          <w:rFonts w:hint="eastAsia" w:ascii="EYInterstate Light" w:hAnsi="EYInterstate Light"/>
          <w:b/>
          <w:snapToGrid w:val="0"/>
          <w:color w:val="000000" w:themeColor="text1"/>
          <w:kern w:val="0"/>
          <w:szCs w:val="21"/>
          <w:lang w:val="en-US" w:eastAsia="zh-CN"/>
          <w14:textFill>
            <w14:solidFill>
              <w14:schemeClr w14:val="tx1"/>
            </w14:solidFill>
          </w14:textFill>
        </w:rPr>
        <w:t>投标报价高于本项目招标预算价的，其投标将作为无效标处理。</w:t>
      </w:r>
    </w:p>
    <w:p>
      <w:pPr>
        <w:tabs>
          <w:tab w:val="left" w:pos="709"/>
        </w:tabs>
        <w:adjustRightInd w:val="0"/>
        <w:snapToGrid w:val="0"/>
        <w:spacing w:line="360" w:lineRule="auto"/>
        <w:ind w:firstLine="420" w:firstLineChars="200"/>
        <w:rPr>
          <w:rFonts w:ascii="EYInterstate Light" w:hAnsi="EYInterstate Light"/>
          <w:b/>
          <w:snapToGrid w:val="0"/>
          <w:color w:val="000000" w:themeColor="text1"/>
          <w:kern w:val="0"/>
          <w:szCs w:val="21"/>
          <w14:textFill>
            <w14:solidFill>
              <w14:schemeClr w14:val="tx1"/>
            </w14:solidFill>
          </w14:textFill>
        </w:rPr>
      </w:pPr>
      <w:r>
        <w:rPr>
          <w:rFonts w:hint="eastAsia" w:ascii="EYInterstate Light" w:hAnsi="EYInterstate Light"/>
          <w:b/>
          <w:snapToGrid w:val="0"/>
          <w:color w:val="000000" w:themeColor="text1"/>
          <w:kern w:val="0"/>
          <w:szCs w:val="21"/>
          <w14:textFill>
            <w14:solidFill>
              <w14:schemeClr w14:val="tx1"/>
            </w14:solidFill>
          </w14:textFill>
        </w:rPr>
        <w:t>报价是中标的一个重要因素，但最低报价不是中标的唯一依据。</w:t>
      </w:r>
    </w:p>
    <w:p>
      <w:pPr>
        <w:spacing w:line="360" w:lineRule="auto"/>
        <w:ind w:firstLine="420" w:firstLineChars="200"/>
        <w:rPr>
          <w:rFonts w:ascii="EYInterstate Light" w:hAnsi="EYInterstate Light"/>
          <w:b/>
          <w:snapToGrid w:val="0"/>
          <w:color w:val="000000" w:themeColor="text1"/>
          <w:kern w:val="0"/>
          <w14:textFill>
            <w14:solidFill>
              <w14:schemeClr w14:val="tx1"/>
            </w14:solidFill>
          </w14:textFill>
        </w:rPr>
      </w:pPr>
      <w:r>
        <w:rPr>
          <w:rFonts w:hint="eastAsia" w:ascii="EYInterstate Light" w:hAnsi="EYInterstate Light" w:cs="Verdana"/>
          <w:b/>
          <w:color w:val="000000" w:themeColor="text1"/>
          <w:szCs w:val="21"/>
          <w14:textFill>
            <w14:solidFill>
              <w14:schemeClr w14:val="tx1"/>
            </w14:solidFill>
          </w14:textFill>
        </w:rPr>
        <w:t>技术</w:t>
      </w:r>
      <w:r>
        <w:rPr>
          <w:rFonts w:hint="eastAsia" w:ascii="EYInterstate Light" w:hAnsi="EYInterstate Light" w:eastAsia="宋体" w:cs="Verdana"/>
          <w:b/>
          <w:color w:val="000000" w:themeColor="text1"/>
          <w:szCs w:val="21"/>
          <w14:textFill>
            <w14:solidFill>
              <w14:schemeClr w14:val="tx1"/>
            </w14:solidFill>
          </w14:textFill>
        </w:rPr>
        <w:t>评审</w:t>
      </w:r>
      <w:r>
        <w:rPr>
          <w:rFonts w:hint="eastAsia" w:ascii="EYInterstate Light" w:hAnsi="EYInterstate Light" w:cs="Verdana"/>
          <w:b/>
          <w:color w:val="000000" w:themeColor="text1"/>
          <w:szCs w:val="21"/>
          <w14:textFill>
            <w14:solidFill>
              <w14:schemeClr w14:val="tx1"/>
            </w14:solidFill>
          </w14:textFill>
        </w:rPr>
        <w:t>得分=评标委员会所有成员评分合计数/评标委员会组成人员数</w:t>
      </w:r>
    </w:p>
    <w:p>
      <w:pPr>
        <w:spacing w:line="360" w:lineRule="auto"/>
        <w:ind w:firstLine="420" w:firstLineChars="200"/>
        <w:rPr>
          <w:rFonts w:ascii="EYInterstate Light" w:hAnsi="EYInterstate Light" w:cs="Verdana"/>
          <w:b/>
          <w:color w:val="000000" w:themeColor="text1"/>
          <w:szCs w:val="21"/>
          <w14:textFill>
            <w14:solidFill>
              <w14:schemeClr w14:val="tx1"/>
            </w14:solidFill>
          </w14:textFill>
        </w:rPr>
      </w:pPr>
      <w:r>
        <w:rPr>
          <w:rFonts w:hint="eastAsia" w:ascii="EYInterstate Light" w:hAnsi="EYInterstate Light" w:cs="Verdana"/>
          <w:b/>
          <w:color w:val="000000" w:themeColor="text1"/>
          <w:szCs w:val="21"/>
          <w14:textFill>
            <w14:solidFill>
              <w14:schemeClr w14:val="tx1"/>
            </w14:solidFill>
          </w14:textFill>
        </w:rPr>
        <w:t>技术</w:t>
      </w:r>
      <w:r>
        <w:rPr>
          <w:rFonts w:hint="eastAsia" w:ascii="EYInterstate Light" w:hAnsi="EYInterstate Light" w:eastAsia="宋体" w:cs="Verdana"/>
          <w:b/>
          <w:color w:val="000000" w:themeColor="text1"/>
          <w:szCs w:val="21"/>
          <w14:textFill>
            <w14:solidFill>
              <w14:schemeClr w14:val="tx1"/>
            </w14:solidFill>
          </w14:textFill>
        </w:rPr>
        <w:t>评审</w:t>
      </w:r>
      <w:r>
        <w:rPr>
          <w:rFonts w:hint="eastAsia" w:ascii="EYInterstate Light" w:hAnsi="EYInterstate Light" w:cs="Verdana"/>
          <w:b/>
          <w:color w:val="000000" w:themeColor="text1"/>
          <w:szCs w:val="21"/>
          <w14:textFill>
            <w14:solidFill>
              <w14:schemeClr w14:val="tx1"/>
            </w14:solidFill>
          </w14:textFill>
        </w:rPr>
        <w:t>得分</w:t>
      </w:r>
      <w:r>
        <w:rPr>
          <w:rFonts w:hint="eastAsia" w:ascii="EYInterstate Light" w:hAnsi="EYInterstate Light"/>
          <w:b/>
          <w:snapToGrid w:val="0"/>
          <w:color w:val="000000" w:themeColor="text1"/>
          <w:kern w:val="0"/>
          <w:szCs w:val="21"/>
          <w14:textFill>
            <w14:solidFill>
              <w14:schemeClr w14:val="tx1"/>
            </w14:solidFill>
          </w14:textFill>
        </w:rPr>
        <w:t>由评标委员会详细评议后，每人一份评分表，进行独自评分并签名。在统计得分时，如发现某一单项评分超过评分细则规定的分值范围，则该张评分表无效。</w:t>
      </w:r>
      <w:r>
        <w:rPr>
          <w:rFonts w:hint="eastAsia" w:ascii="EYInterstate Light" w:hAnsi="EYInterstate Light"/>
          <w:b/>
          <w:snapToGrid w:val="0"/>
          <w:color w:val="000000" w:themeColor="text1"/>
          <w:kern w:val="0"/>
          <w14:textFill>
            <w14:solidFill>
              <w14:schemeClr w14:val="tx1"/>
            </w14:solidFill>
          </w14:textFill>
        </w:rPr>
        <w:t>投标人商务</w:t>
      </w:r>
      <w:r>
        <w:rPr>
          <w:rFonts w:hint="eastAsia" w:ascii="EYInterstate Light" w:hAnsi="EYInterstate Light"/>
          <w:b/>
          <w:snapToGrid w:val="0"/>
          <w:color w:val="000000" w:themeColor="text1"/>
          <w:kern w:val="0"/>
          <w:szCs w:val="21"/>
          <w14:textFill>
            <w14:solidFill>
              <w14:schemeClr w14:val="tx1"/>
            </w14:solidFill>
          </w14:textFill>
        </w:rPr>
        <w:t>技术</w:t>
      </w:r>
      <w:r>
        <w:rPr>
          <w:rFonts w:hint="eastAsia" w:ascii="EYInterstate Light" w:hAnsi="EYInterstate Light"/>
          <w:b/>
          <w:snapToGrid w:val="0"/>
          <w:color w:val="000000" w:themeColor="text1"/>
          <w:kern w:val="0"/>
          <w14:textFill>
            <w14:solidFill>
              <w14:schemeClr w14:val="tx1"/>
            </w14:solidFill>
          </w14:textFill>
        </w:rPr>
        <w:t>部分的得分为评标委员会各成员的有效评分的算术平均值。</w:t>
      </w:r>
    </w:p>
    <w:p>
      <w:pPr>
        <w:adjustRightInd w:val="0"/>
        <w:snapToGrid w:val="0"/>
        <w:spacing w:line="360" w:lineRule="auto"/>
        <w:ind w:firstLine="420" w:firstLineChars="200"/>
        <w:rPr>
          <w:rFonts w:ascii="EYInterstate Light" w:hAnsi="EYInterstate Light"/>
          <w:b/>
          <w:snapToGrid w:val="0"/>
          <w:color w:val="000000" w:themeColor="text1"/>
          <w:kern w:val="0"/>
          <w14:textFill>
            <w14:solidFill>
              <w14:schemeClr w14:val="tx1"/>
            </w14:solidFill>
          </w14:textFill>
        </w:rPr>
      </w:pPr>
      <w:r>
        <w:rPr>
          <w:rFonts w:hint="eastAsia" w:ascii="EYInterstate Light" w:hAnsi="EYInterstate Light"/>
          <w:b/>
          <w:snapToGrid w:val="0"/>
          <w:color w:val="000000" w:themeColor="text1"/>
          <w:kern w:val="0"/>
          <w14:textFill>
            <w14:solidFill>
              <w14:schemeClr w14:val="tx1"/>
            </w14:solidFill>
          </w14:textFill>
        </w:rPr>
        <w:t>商务评审</w:t>
      </w:r>
      <w:r>
        <w:rPr>
          <w:rFonts w:hint="eastAsia" w:ascii="EYInterstate Light" w:hAnsi="EYInterstate Light" w:eastAsia="宋体"/>
          <w:b/>
          <w:snapToGrid w:val="0"/>
          <w:color w:val="000000" w:themeColor="text1"/>
          <w:kern w:val="0"/>
          <w14:textFill>
            <w14:solidFill>
              <w14:schemeClr w14:val="tx1"/>
            </w14:solidFill>
          </w14:textFill>
        </w:rPr>
        <w:t>得分</w:t>
      </w:r>
      <w:r>
        <w:rPr>
          <w:rFonts w:hint="eastAsia" w:ascii="EYInterstate Light" w:hAnsi="EYInterstate Light"/>
          <w:b/>
          <w:snapToGrid w:val="0"/>
          <w:color w:val="000000" w:themeColor="text1"/>
          <w:kern w:val="0"/>
          <w:szCs w:val="21"/>
          <w14:textFill>
            <w14:solidFill>
              <w14:schemeClr w14:val="tx1"/>
            </w14:solidFill>
          </w14:textFill>
        </w:rPr>
        <w:t>由评标委员会详细评议后，按评分细则进行统一评分。</w:t>
      </w:r>
    </w:p>
    <w:p>
      <w:pPr>
        <w:adjustRightInd w:val="0"/>
        <w:snapToGrid w:val="0"/>
        <w:spacing w:line="360" w:lineRule="auto"/>
        <w:ind w:firstLine="420" w:firstLineChars="200"/>
        <w:rPr>
          <w:rFonts w:ascii="EYInterstate Light" w:hAnsi="EYInterstate Light" w:eastAsia="宋体"/>
          <w:snapToGrid w:val="0"/>
          <w:color w:val="000000" w:themeColor="text1"/>
          <w:kern w:val="0"/>
          <w:szCs w:val="21"/>
          <w14:textFill>
            <w14:solidFill>
              <w14:schemeClr w14:val="tx1"/>
            </w14:solidFill>
          </w14:textFill>
        </w:rPr>
      </w:pPr>
      <w:r>
        <w:rPr>
          <w:rFonts w:hint="eastAsia" w:ascii="EYInterstate Light" w:hAnsi="EYInterstate Light"/>
          <w:snapToGrid w:val="0"/>
          <w:color w:val="000000" w:themeColor="text1"/>
          <w:kern w:val="0"/>
          <w:szCs w:val="21"/>
          <w14:textFill>
            <w14:solidFill>
              <w14:schemeClr w14:val="tx1"/>
            </w14:solidFill>
          </w14:textFill>
        </w:rPr>
        <w:t>商务技术评分时保留小数点后1位小数，计算评分值时保留小数点后2位小数，由评标委员会当场统一计算。</w:t>
      </w:r>
    </w:p>
    <w:p>
      <w:pPr>
        <w:adjustRightInd w:val="0"/>
        <w:snapToGrid w:val="0"/>
        <w:spacing w:line="360" w:lineRule="auto"/>
        <w:ind w:firstLine="420" w:firstLineChars="200"/>
        <w:rPr>
          <w:rFonts w:ascii="EYInterstate Light" w:hAnsi="EYInterstate Light" w:eastAsia="宋体"/>
          <w:snapToGrid w:val="0"/>
          <w:color w:val="000000" w:themeColor="text1"/>
          <w:kern w:val="0"/>
          <w:szCs w:val="21"/>
          <w14:textFill>
            <w14:solidFill>
              <w14:schemeClr w14:val="tx1"/>
            </w14:solidFill>
          </w14:textFill>
        </w:rPr>
      </w:pPr>
      <w:r>
        <w:rPr>
          <w:rFonts w:hint="eastAsia" w:ascii="EYInterstate Light" w:hAnsi="EYInterstate Light"/>
          <w:snapToGrid w:val="0"/>
          <w:color w:val="000000" w:themeColor="text1"/>
          <w:kern w:val="0"/>
          <w:szCs w:val="21"/>
          <w14:textFill>
            <w14:solidFill>
              <w14:schemeClr w14:val="tx1"/>
            </w14:solidFill>
          </w14:textFill>
        </w:rPr>
        <w:t>说明：以上所列品牌型号仅为参考，投标人可根据自身情况做相应调整。投标人在投标文件中若提供了招标人推荐品牌外的产品，应同时提供相当于招标人推荐品牌产品的证明材料。评标时，评标专家应根据投标人的证明材料及专业水平进行谨慎评标，对推荐品牌外产品能否满足招标人要求作出明确说明，对于未提供相关证明材料或提供的证明材料依据不足时评标专家在详细说明的情况下可以废标。</w:t>
      </w:r>
    </w:p>
    <w:p>
      <w:pPr>
        <w:widowControl/>
        <w:spacing w:line="360" w:lineRule="auto"/>
        <w:jc w:val="left"/>
        <w:rPr>
          <w:rFonts w:ascii="EYInterstate Light" w:hAnsi="EYInterstate Light"/>
          <w:bCs/>
          <w:color w:val="000000" w:themeColor="text1"/>
          <w:sz w:val="24"/>
          <w14:textFill>
            <w14:solidFill>
              <w14:schemeClr w14:val="tx1"/>
            </w14:solidFill>
          </w14:textFill>
        </w:rPr>
      </w:pPr>
      <w:r>
        <w:rPr>
          <w:rFonts w:ascii="EYInterstate Light" w:hAnsi="EYInterstate Light"/>
          <w:bCs/>
          <w:color w:val="000000" w:themeColor="text1"/>
          <w:sz w:val="24"/>
          <w14:textFill>
            <w14:solidFill>
              <w14:schemeClr w14:val="tx1"/>
            </w14:solidFill>
          </w14:textFill>
        </w:rPr>
        <w:br w:type="page"/>
      </w:r>
    </w:p>
    <w:p>
      <w:pPr>
        <w:pStyle w:val="2"/>
        <w:bidi w:val="0"/>
        <w:jc w:val="center"/>
      </w:pPr>
      <w:bookmarkStart w:id="332" w:name="_Toc7534"/>
      <w:bookmarkStart w:id="333" w:name="_Toc6740"/>
      <w:bookmarkStart w:id="334" w:name="_Toc12498"/>
      <w:bookmarkStart w:id="335" w:name="_Toc26275"/>
      <w:bookmarkStart w:id="336" w:name="_Toc22180"/>
      <w:bookmarkStart w:id="337" w:name="_Toc9080"/>
      <w:bookmarkStart w:id="338" w:name="_Toc18305"/>
      <w:bookmarkStart w:id="339" w:name="_Toc26329"/>
      <w:r>
        <w:rPr>
          <w:rFonts w:hint="eastAsia"/>
        </w:rPr>
        <w:t>第六章  投标文件格式</w:t>
      </w:r>
      <w:bookmarkEnd w:id="332"/>
      <w:bookmarkEnd w:id="333"/>
      <w:bookmarkEnd w:id="334"/>
      <w:bookmarkEnd w:id="335"/>
      <w:bookmarkEnd w:id="336"/>
      <w:bookmarkEnd w:id="337"/>
      <w:bookmarkEnd w:id="338"/>
      <w:bookmarkEnd w:id="339"/>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说明：</w:t>
      </w:r>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1．投标文件由投标人根据照招标文件要求参照附件格式编制。</w:t>
      </w:r>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2．投标人根据实际情况，格式的字体、编排，表格的内容可以做适当调整。</w:t>
      </w:r>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3．招标文件中没有参考格式的，投标人自行编制。</w:t>
      </w:r>
    </w:p>
    <w:p>
      <w:pPr>
        <w:tabs>
          <w:tab w:val="left" w:pos="709"/>
        </w:tabs>
        <w:adjustRightInd w:val="0"/>
        <w:snapToGrid w:val="0"/>
        <w:spacing w:line="360" w:lineRule="auto"/>
        <w:ind w:firstLine="420" w:firstLineChars="200"/>
        <w:jc w:val="left"/>
        <w:rPr>
          <w:rFonts w:ascii="EYInterstate Light" w:hAnsi="EYInterstate Light"/>
          <w:color w:val="000000" w:themeColor="text1"/>
          <w:szCs w:val="21"/>
          <w14:textFill>
            <w14:solidFill>
              <w14:schemeClr w14:val="tx1"/>
            </w14:solidFill>
          </w14:textFill>
        </w:rPr>
      </w:pPr>
    </w:p>
    <w:tbl>
      <w:tblPr>
        <w:tblStyle w:val="46"/>
        <w:tblW w:w="85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0"/>
        <w:gridCol w:w="6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90" w:type="dxa"/>
            <w:gridSpan w:val="2"/>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投标报名登记表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项目名称</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项目编号</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投标单位名称</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投标单位联系人</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投标单位联系方式</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投标单位联系邮箱</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bl>
    <w:p>
      <w:pPr>
        <w:tabs>
          <w:tab w:val="left" w:pos="709"/>
        </w:tabs>
        <w:adjustRightInd w:val="0"/>
        <w:snapToGrid w:val="0"/>
        <w:spacing w:line="360" w:lineRule="auto"/>
        <w:ind w:firstLine="420" w:firstLineChars="200"/>
        <w:jc w:val="left"/>
        <w:rPr>
          <w:rFonts w:ascii="EYInterstate Light" w:hAnsi="EYInterstate Light"/>
          <w:color w:val="000000" w:themeColor="text1"/>
          <w:szCs w:val="21"/>
          <w14:textFill>
            <w14:solidFill>
              <w14:schemeClr w14:val="tx1"/>
            </w14:solidFill>
          </w14:textFill>
        </w:rPr>
      </w:pPr>
    </w:p>
    <w:p>
      <w:pPr>
        <w:tabs>
          <w:tab w:val="left" w:pos="709"/>
        </w:tabs>
        <w:adjustRightInd w:val="0"/>
        <w:snapToGrid w:val="0"/>
        <w:spacing w:line="360" w:lineRule="auto"/>
        <w:ind w:firstLine="480" w:firstLineChars="200"/>
        <w:jc w:val="left"/>
        <w:rPr>
          <w:rFonts w:ascii="EYInterstate Light" w:hAnsi="EYInterstate Light"/>
          <w:color w:val="000000" w:themeColor="text1"/>
          <w:sz w:val="24"/>
          <w14:textFill>
            <w14:solidFill>
              <w14:schemeClr w14:val="tx1"/>
            </w14:solidFill>
          </w14:textFill>
        </w:rPr>
      </w:pPr>
    </w:p>
    <w:p>
      <w:pPr>
        <w:tabs>
          <w:tab w:val="left" w:pos="709"/>
        </w:tabs>
        <w:adjustRightInd w:val="0"/>
        <w:snapToGrid w:val="0"/>
        <w:spacing w:line="360" w:lineRule="auto"/>
        <w:ind w:firstLine="480" w:firstLineChars="200"/>
        <w:jc w:val="left"/>
        <w:rPr>
          <w:rFonts w:ascii="EYInterstate Light" w:hAnsi="EYInterstate Light"/>
          <w:color w:val="000000" w:themeColor="text1"/>
          <w:sz w:val="24"/>
          <w14:textFill>
            <w14:solidFill>
              <w14:schemeClr w14:val="tx1"/>
            </w14:solidFill>
          </w14:textFill>
        </w:rPr>
      </w:pPr>
    </w:p>
    <w:p>
      <w:pPr>
        <w:tabs>
          <w:tab w:val="left" w:pos="709"/>
        </w:tabs>
        <w:adjustRightInd w:val="0"/>
        <w:snapToGrid w:val="0"/>
        <w:spacing w:line="360" w:lineRule="auto"/>
        <w:ind w:firstLine="480" w:firstLineChars="200"/>
        <w:jc w:val="left"/>
        <w:rPr>
          <w:rFonts w:ascii="EYInterstate Light" w:hAnsi="EYInterstate Light"/>
          <w:color w:val="000000" w:themeColor="text1"/>
          <w:sz w:val="24"/>
          <w14:textFill>
            <w14:solidFill>
              <w14:schemeClr w14:val="tx1"/>
            </w14:solidFill>
          </w14:textFill>
        </w:rPr>
      </w:pPr>
    </w:p>
    <w:p>
      <w:pPr>
        <w:rPr>
          <w:rFonts w:ascii="EYInterstate Light" w:hAnsi="EYInterstate Light"/>
          <w:color w:val="000000" w:themeColor="text1"/>
          <w:sz w:val="24"/>
          <w14:textFill>
            <w14:solidFill>
              <w14:schemeClr w14:val="tx1"/>
            </w14:solidFill>
          </w14:textFill>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3"/>
        <w:keepNext/>
        <w:keepLines/>
        <w:pageBreakBefore w:val="0"/>
        <w:widowControl w:val="0"/>
        <w:numPr>
          <w:ilvl w:val="0"/>
          <w:numId w:val="71"/>
        </w:numPr>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340" w:name="_Toc371002588"/>
      <w:bookmarkStart w:id="341" w:name="_Toc368993656"/>
      <w:bookmarkStart w:id="342" w:name="_Toc91"/>
      <w:bookmarkStart w:id="343" w:name="_Toc53245890"/>
      <w:bookmarkStart w:id="344" w:name="_Toc23099"/>
      <w:bookmarkStart w:id="345" w:name="_Toc17034"/>
      <w:bookmarkStart w:id="346" w:name="_Toc534142826"/>
      <w:bookmarkStart w:id="347" w:name="_Toc2372"/>
      <w:bookmarkStart w:id="348" w:name="_Toc23316"/>
      <w:bookmarkStart w:id="349" w:name="_Toc16003"/>
      <w:bookmarkStart w:id="350" w:name="_Toc5561"/>
      <w:bookmarkStart w:id="351" w:name="_Toc24937"/>
      <w:r>
        <w:rPr>
          <w:rFonts w:hint="eastAsia" w:ascii="宋体" w:hAnsi="宋体" w:cs="宋体"/>
        </w:rPr>
        <w:t>投标文件封面</w:t>
      </w:r>
      <w:bookmarkEnd w:id="340"/>
      <w:bookmarkEnd w:id="341"/>
      <w:bookmarkEnd w:id="342"/>
      <w:bookmarkEnd w:id="343"/>
      <w:bookmarkEnd w:id="344"/>
      <w:bookmarkEnd w:id="345"/>
      <w:bookmarkEnd w:id="346"/>
      <w:bookmarkEnd w:id="347"/>
      <w:bookmarkEnd w:id="348"/>
      <w:bookmarkEnd w:id="349"/>
      <w:bookmarkEnd w:id="350"/>
      <w:bookmarkEnd w:id="351"/>
    </w:p>
    <w:p/>
    <w:p>
      <w:pPr>
        <w:rPr>
          <w:rFonts w:ascii="EYInterstate Light" w:hAnsi="EYInterstate Light"/>
          <w:color w:val="000000" w:themeColor="text1"/>
          <w14:textFill>
            <w14:solidFill>
              <w14:schemeClr w14:val="tx1"/>
            </w14:solidFill>
          </w14:textFill>
        </w:rPr>
      </w:pPr>
    </w:p>
    <w:p>
      <w:pPr>
        <w:spacing w:line="240" w:lineRule="auto"/>
        <w:jc w:val="left"/>
        <w:rPr>
          <w:rFonts w:hint="eastAsia" w:ascii="EYInterstate Light" w:hAnsi="EYInterstate Light"/>
          <w:color w:val="000000" w:themeColor="text1"/>
          <w:sz w:val="24"/>
          <w14:textFill>
            <w14:solidFill>
              <w14:schemeClr w14:val="tx1"/>
            </w14:solidFill>
          </w14:textFill>
        </w:rPr>
        <w:sectPr>
          <w:footerReference r:id="rId11" w:type="default"/>
          <w:footerReference r:id="rId12" w:type="even"/>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spacing w:line="360" w:lineRule="auto"/>
        <w:jc w:val="both"/>
        <w:rPr>
          <w:rFonts w:hint="eastAsia" w:ascii="EYInterstate Light" w:hAnsi="EYInterstate Light"/>
          <w:color w:val="000000" w:themeColor="text1"/>
          <w:sz w:val="24"/>
          <w14:textFill>
            <w14:solidFill>
              <w14:schemeClr w14:val="tx1"/>
            </w14:solidFill>
          </w14:textFill>
        </w:rPr>
      </w:pPr>
    </w:p>
    <w:p>
      <w:pPr>
        <w:spacing w:line="360" w:lineRule="auto"/>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_________（项目名称）___________________招标</w:t>
      </w:r>
    </w:p>
    <w:p>
      <w:pPr>
        <w:jc w:val="center"/>
        <w:rPr>
          <w:rFonts w:ascii="EYInterstate Light" w:hAnsi="EYInterstate Light"/>
          <w:color w:val="000000" w:themeColor="text1"/>
          <w:sz w:val="24"/>
          <w14:textFill>
            <w14:solidFill>
              <w14:schemeClr w14:val="tx1"/>
            </w14:solidFill>
          </w14:textFill>
        </w:rPr>
      </w:pPr>
    </w:p>
    <w:p>
      <w:pPr>
        <w:jc w:val="center"/>
        <w:rPr>
          <w:rFonts w:ascii="EYInterstate Light" w:hAnsi="EYInterstate Light"/>
          <w:color w:val="000000" w:themeColor="text1"/>
          <w:sz w:val="24"/>
          <w14:textFill>
            <w14:solidFill>
              <w14:schemeClr w14:val="tx1"/>
            </w14:solidFill>
          </w14:textFill>
        </w:rPr>
      </w:pPr>
    </w:p>
    <w:p>
      <w:pPr>
        <w:jc w:val="center"/>
        <w:rPr>
          <w:rFonts w:ascii="EYInterstate Light" w:hAnsi="EYInterstate Light"/>
          <w:color w:val="000000" w:themeColor="text1"/>
          <w:sz w:val="52"/>
          <w:szCs w:val="52"/>
          <w14:textFill>
            <w14:solidFill>
              <w14:schemeClr w14:val="tx1"/>
            </w14:solidFill>
          </w14:textFill>
        </w:rPr>
      </w:pPr>
    </w:p>
    <w:p>
      <w:pPr>
        <w:spacing w:after="120"/>
        <w:jc w:val="center"/>
        <w:rPr>
          <w:rFonts w:hint="eastAsia" w:ascii="宋体" w:hAnsi="宋体" w:eastAsia="宋体" w:cs="宋体"/>
          <w:b/>
          <w:color w:val="000000" w:themeColor="text1"/>
          <w:sz w:val="52"/>
          <w:szCs w:val="52"/>
          <w14:textFill>
            <w14:solidFill>
              <w14:schemeClr w14:val="tx1"/>
            </w14:solidFill>
          </w14:textFill>
        </w:rPr>
      </w:pPr>
      <w:r>
        <w:rPr>
          <w:rFonts w:hint="eastAsia" w:ascii="宋体" w:hAnsi="宋体" w:eastAsia="宋体" w:cs="宋体"/>
          <w:b/>
          <w:color w:val="000000" w:themeColor="text1"/>
          <w:sz w:val="52"/>
          <w:szCs w:val="52"/>
          <w14:textFill>
            <w14:solidFill>
              <w14:schemeClr w14:val="tx1"/>
            </w14:solidFill>
          </w14:textFill>
        </w:rPr>
        <w:t>投标文件</w:t>
      </w: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投标人：</w:t>
      </w: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（盖公章或电子签章或合同章）</w:t>
      </w:r>
    </w:p>
    <w:p>
      <w:pPr>
        <w:spacing w:after="120"/>
        <w:jc w:val="center"/>
        <w:rPr>
          <w:rFonts w:hint="eastAsia" w:ascii="宋体" w:hAnsi="宋体" w:eastAsia="宋体" w:cs="宋体"/>
          <w:color w:val="000000" w:themeColor="text1"/>
          <w:sz w:val="24"/>
          <w:u w:val="single"/>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法定代表人或其委托代理人：</w:t>
      </w: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（签字或电子签名）</w:t>
      </w:r>
    </w:p>
    <w:p>
      <w:pPr>
        <w:spacing w:after="120"/>
        <w:ind w:firstLine="210"/>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年</w:t>
      </w:r>
      <w:r>
        <w:rPr>
          <w:rFonts w:hint="eastAsia" w:ascii="宋体" w:hAnsi="宋体" w:eastAsia="宋体" w:cs="宋体"/>
          <w:color w:val="000000" w:themeColor="text1"/>
          <w:sz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月</w:t>
      </w:r>
      <w:r>
        <w:rPr>
          <w:rFonts w:hint="eastAsia" w:ascii="宋体" w:hAnsi="宋体" w:eastAsia="宋体" w:cs="宋体"/>
          <w:color w:val="000000" w:themeColor="text1"/>
          <w:sz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日</w:t>
      </w:r>
    </w:p>
    <w:p>
      <w:pPr>
        <w:spacing w:after="120"/>
        <w:ind w:firstLine="210"/>
        <w:jc w:val="center"/>
        <w:rPr>
          <w:rFonts w:ascii="EYInterstate Light" w:hAnsi="EYInterstate Light"/>
          <w:color w:val="000000" w:themeColor="text1"/>
          <w:sz w:val="24"/>
          <w14:textFill>
            <w14:solidFill>
              <w14:schemeClr w14:val="tx1"/>
            </w14:solidFill>
          </w14:textFill>
        </w:rPr>
      </w:pPr>
    </w:p>
    <w:p>
      <w:pPr>
        <w:spacing w:after="120"/>
        <w:ind w:firstLine="210"/>
        <w:jc w:val="center"/>
        <w:rPr>
          <w:rFonts w:ascii="EYInterstate Light" w:hAnsi="EYInterstate Light"/>
          <w:color w:val="000000" w:themeColor="text1"/>
          <w:sz w:val="24"/>
          <w14:textFill>
            <w14:solidFill>
              <w14:schemeClr w14:val="tx1"/>
            </w14:solidFill>
          </w14:textFill>
        </w:rPr>
      </w:pPr>
    </w:p>
    <w:p>
      <w:pPr>
        <w:pStyle w:val="6"/>
        <w:spacing w:line="360" w:lineRule="auto"/>
        <w:ind w:left="864" w:hanging="864"/>
        <w:jc w:val="left"/>
        <w:rPr>
          <w:rFonts w:ascii="EYInterstate Light" w:hAnsi="EYInterstate Light"/>
          <w:color w:val="000000" w:themeColor="text1"/>
          <w:sz w:val="21"/>
          <w:szCs w:val="21"/>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pStyle w:val="6"/>
        <w:spacing w:line="360" w:lineRule="auto"/>
        <w:ind w:left="864" w:hanging="864"/>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附详细评审索引表</w:t>
      </w:r>
    </w:p>
    <w:p>
      <w:pPr>
        <w:spacing w:line="360" w:lineRule="auto"/>
        <w:rPr>
          <w:rFonts w:ascii="EYInterstate Light" w:hAnsi="EYInterstate Light"/>
          <w:b/>
          <w:bCs/>
          <w:color w:val="000000" w:themeColor="text1"/>
          <w:szCs w:val="21"/>
          <w14:textFill>
            <w14:solidFill>
              <w14:schemeClr w14:val="tx1"/>
            </w14:solidFill>
          </w14:textFill>
        </w:rPr>
      </w:pPr>
    </w:p>
    <w:tbl>
      <w:tblPr>
        <w:tblStyle w:val="46"/>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944"/>
        <w:gridCol w:w="2785"/>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序号</w:t>
            </w:r>
          </w:p>
        </w:tc>
        <w:tc>
          <w:tcPr>
            <w:tcW w:w="1944"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评审项目</w:t>
            </w:r>
          </w:p>
        </w:tc>
        <w:tc>
          <w:tcPr>
            <w:tcW w:w="2785"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评审内容</w:t>
            </w:r>
          </w:p>
        </w:tc>
        <w:tc>
          <w:tcPr>
            <w:tcW w:w="3162"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6</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7</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8</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9</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bl>
    <w:p>
      <w:pPr>
        <w:pStyle w:val="16"/>
        <w:spacing w:line="360" w:lineRule="auto"/>
        <w:ind w:left="424" w:hanging="424" w:hangingChars="202"/>
        <w:rPr>
          <w:rFonts w:hint="eastAsia" w:ascii="宋体" w:hAnsi="宋体" w:eastAsia="宋体" w:cs="宋体"/>
          <w:color w:val="000000" w:themeColor="text1"/>
          <w:sz w:val="21"/>
          <w:szCs w:val="21"/>
          <w:lang w:val="en-GB"/>
          <w14:textFill>
            <w14:solidFill>
              <w14:schemeClr w14:val="tx1"/>
            </w14:solidFill>
          </w14:textFill>
        </w:rPr>
      </w:pPr>
      <w:r>
        <w:rPr>
          <w:rFonts w:hint="eastAsia" w:ascii="宋体" w:hAnsi="宋体" w:eastAsia="宋体" w:cs="宋体"/>
          <w:color w:val="000000" w:themeColor="text1"/>
          <w:sz w:val="21"/>
          <w:szCs w:val="21"/>
          <w:lang w:val="en-GB"/>
          <w14:textFill>
            <w14:solidFill>
              <w14:schemeClr w14:val="tx1"/>
            </w14:solidFill>
          </w14:textFill>
        </w:rPr>
        <w:t>注：</w:t>
      </w:r>
      <w:r>
        <w:rPr>
          <w:rFonts w:hint="eastAsia" w:ascii="宋体" w:hAnsi="宋体" w:eastAsia="宋体" w:cs="宋体"/>
          <w:color w:val="000000" w:themeColor="text1"/>
          <w:sz w:val="21"/>
          <w:szCs w:val="21"/>
          <w14:textFill>
            <w14:solidFill>
              <w14:schemeClr w14:val="tx1"/>
            </w14:solidFill>
          </w14:textFill>
        </w:rPr>
        <w:t>投标人需根据评标办法的各项评审内容填写此表</w:t>
      </w:r>
      <w:r>
        <w:rPr>
          <w:rFonts w:hint="eastAsia" w:ascii="宋体" w:hAnsi="宋体" w:eastAsia="宋体" w:cs="宋体"/>
          <w:color w:val="000000" w:themeColor="text1"/>
          <w:sz w:val="21"/>
          <w:szCs w:val="21"/>
          <w:lang w:val="en-GB"/>
          <w14:textFill>
            <w14:solidFill>
              <w14:schemeClr w14:val="tx1"/>
            </w14:solidFill>
          </w14:textFill>
        </w:rPr>
        <w:t>。</w:t>
      </w: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6615" w:firstLineChars="315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spacing w:after="120"/>
        <w:ind w:firstLine="210"/>
        <w:jc w:val="center"/>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pStyle w:val="3"/>
        <w:keepNext/>
        <w:keepLines/>
        <w:pageBreakBefore w:val="0"/>
        <w:widowControl w:val="0"/>
        <w:numPr>
          <w:ilvl w:val="0"/>
          <w:numId w:val="71"/>
        </w:numPr>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352" w:name="_Toc29020"/>
      <w:bookmarkStart w:id="353" w:name="_Toc53245891"/>
      <w:bookmarkStart w:id="354" w:name="_Toc29701"/>
      <w:bookmarkStart w:id="355" w:name="_Toc30135"/>
      <w:bookmarkStart w:id="356" w:name="_Toc4943"/>
      <w:bookmarkStart w:id="357" w:name="_Toc21730"/>
      <w:bookmarkStart w:id="358" w:name="_Toc25261"/>
      <w:bookmarkStart w:id="359" w:name="_Toc18981"/>
      <w:bookmarkStart w:id="360" w:name="_Toc28957"/>
      <w:r>
        <w:rPr>
          <w:rFonts w:hint="eastAsia" w:ascii="宋体" w:hAnsi="宋体" w:cs="宋体"/>
        </w:rPr>
        <w:t>报价文件</w:t>
      </w:r>
      <w:bookmarkEnd w:id="352"/>
      <w:bookmarkEnd w:id="353"/>
      <w:bookmarkEnd w:id="354"/>
      <w:bookmarkEnd w:id="355"/>
      <w:bookmarkEnd w:id="356"/>
      <w:bookmarkEnd w:id="357"/>
      <w:bookmarkEnd w:id="358"/>
      <w:bookmarkEnd w:id="359"/>
      <w:bookmarkEnd w:id="360"/>
    </w:p>
    <w:p>
      <w:pPr>
        <w:bidi w:val="0"/>
        <w:jc w:val="center"/>
        <w:rPr>
          <w:rFonts w:hint="eastAsia" w:ascii="宋体" w:hAnsi="宋体" w:eastAsia="宋体" w:cs="宋体"/>
        </w:rPr>
      </w:pPr>
      <w:bookmarkStart w:id="361" w:name="_Toc85736537"/>
      <w:bookmarkStart w:id="362" w:name="_Toc53245892"/>
      <w:bookmarkStart w:id="363" w:name="_Toc46421275"/>
      <w:bookmarkStart w:id="364" w:name="_Toc70626988"/>
      <w:bookmarkStart w:id="365" w:name="_Toc53246083"/>
      <w:bookmarkStart w:id="366" w:name="_Toc90407511"/>
      <w:bookmarkStart w:id="367" w:name="_Toc85736443"/>
      <w:r>
        <w:rPr>
          <w:rFonts w:hint="eastAsia" w:ascii="宋体" w:hAnsi="宋体" w:eastAsia="宋体" w:cs="宋体"/>
        </w:rPr>
        <w:t>目录</w:t>
      </w:r>
      <w:bookmarkEnd w:id="361"/>
      <w:bookmarkEnd w:id="362"/>
      <w:bookmarkEnd w:id="363"/>
      <w:bookmarkEnd w:id="364"/>
      <w:bookmarkEnd w:id="365"/>
      <w:bookmarkEnd w:id="366"/>
      <w:bookmarkEnd w:id="367"/>
    </w:p>
    <w:p>
      <w:pPr>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参照第二章投标人须知</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报价文件</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（部分参考格式附后）</w:t>
      </w:r>
    </w:p>
    <w:p>
      <w:pPr>
        <w:numPr>
          <w:ilvl w:val="0"/>
          <w:numId w:val="72"/>
        </w:numPr>
        <w:bidi w:val="0"/>
        <w:rPr>
          <w:rFonts w:ascii="EYInterstate Light" w:hAnsi="EYInterstate Light" w:eastAsia="EYInterstate Light"/>
          <w:color w:val="000000" w:themeColor="text1"/>
          <w:sz w:val="24"/>
          <w:szCs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bookmarkStart w:id="368" w:name="_Toc107822558"/>
      <w:bookmarkStart w:id="369" w:name="_Toc534142827"/>
      <w:bookmarkStart w:id="370" w:name="_Toc53246084"/>
      <w:bookmarkStart w:id="371" w:name="_Toc90407512"/>
      <w:bookmarkStart w:id="372" w:name="_Toc488655907"/>
      <w:bookmarkStart w:id="373" w:name="_Toc226969360"/>
      <w:bookmarkStart w:id="374" w:name="_Toc371002589"/>
      <w:bookmarkStart w:id="375" w:name="_Toc85736538"/>
      <w:bookmarkStart w:id="376" w:name="_Toc46421276"/>
      <w:bookmarkStart w:id="377" w:name="_Toc368993657"/>
      <w:bookmarkStart w:id="378" w:name="_Toc85736444"/>
      <w:bookmarkStart w:id="379" w:name="_Toc53245893"/>
      <w:bookmarkStart w:id="380" w:name="_Toc227057966"/>
      <w:bookmarkStart w:id="381" w:name="_Toc70626989"/>
      <w:r>
        <w:rPr>
          <w:rFonts w:hint="eastAsia" w:ascii="宋体" w:hAnsi="宋体" w:eastAsia="宋体" w:cs="宋体"/>
          <w:color w:val="000000" w:themeColor="text1"/>
          <w:sz w:val="24"/>
          <w:szCs w:val="24"/>
          <w14:textFill>
            <w14:solidFill>
              <w14:schemeClr w14:val="tx1"/>
            </w14:solidFill>
          </w14:textFill>
        </w:rPr>
        <w:t>投标</w:t>
      </w:r>
      <w:bookmarkEnd w:id="368"/>
      <w:r>
        <w:rPr>
          <w:rFonts w:hint="eastAsia" w:ascii="宋体" w:hAnsi="宋体" w:eastAsia="宋体" w:cs="宋体"/>
          <w:color w:val="000000" w:themeColor="text1"/>
          <w:sz w:val="24"/>
          <w:szCs w:val="24"/>
          <w14:textFill>
            <w14:solidFill>
              <w14:schemeClr w14:val="tx1"/>
            </w14:solidFill>
          </w14:textFill>
        </w:rPr>
        <w:t>函</w:t>
      </w:r>
      <w:bookmarkEnd w:id="369"/>
      <w:bookmarkEnd w:id="370"/>
      <w:bookmarkEnd w:id="371"/>
      <w:bookmarkEnd w:id="372"/>
      <w:bookmarkEnd w:id="373"/>
      <w:bookmarkEnd w:id="374"/>
      <w:bookmarkEnd w:id="375"/>
      <w:bookmarkEnd w:id="376"/>
      <w:bookmarkEnd w:id="377"/>
      <w:bookmarkEnd w:id="378"/>
      <w:bookmarkEnd w:id="379"/>
      <w:bookmarkEnd w:id="380"/>
      <w:bookmarkEnd w:id="381"/>
    </w:p>
    <w:p>
      <w:pPr>
        <w:adjustRightInd w:val="0"/>
        <w:snapToGrid w:val="0"/>
        <w:spacing w:line="360" w:lineRule="auto"/>
        <w:ind w:firstLine="480" w:firstLineChars="200"/>
        <w:jc w:val="center"/>
        <w:rPr>
          <w:rFonts w:hint="eastAsia" w:ascii="宋体" w:hAnsi="宋体" w:eastAsia="宋体" w:cs="宋体"/>
          <w:b/>
          <w:color w:val="000000" w:themeColor="text1"/>
          <w:sz w:val="24"/>
          <w:u w:val="single"/>
          <w14:textFill>
            <w14:solidFill>
              <w14:schemeClr w14:val="tx1"/>
            </w14:solidFill>
          </w14:textFill>
        </w:rPr>
      </w:pPr>
      <w:r>
        <w:rPr>
          <w:rFonts w:hint="eastAsia" w:ascii="宋体" w:hAnsi="宋体" w:eastAsia="宋体" w:cs="宋体"/>
          <w:b/>
          <w:color w:val="000000" w:themeColor="text1"/>
          <w:sz w:val="24"/>
          <w:u w:val="single"/>
          <w14:textFill>
            <w14:solidFill>
              <w14:schemeClr w14:val="tx1"/>
            </w14:solidFill>
          </w14:textFill>
        </w:rPr>
        <w:t>投标函</w:t>
      </w:r>
    </w:p>
    <w:p>
      <w:pPr>
        <w:adjustRightInd w:val="0"/>
        <w:snapToGrid w:val="0"/>
        <w:spacing w:line="360" w:lineRule="auto"/>
        <w:ind w:firstLine="480" w:firstLineChars="200"/>
        <w:jc w:val="center"/>
        <w:rPr>
          <w:rFonts w:ascii="EYInterstate Light" w:hAnsi="EYInterstate Light"/>
          <w:color w:val="000000" w:themeColor="text1"/>
          <w:sz w:val="24"/>
          <w14:textFill>
            <w14:solidFill>
              <w14:schemeClr w14:val="tx1"/>
            </w14:solidFill>
          </w14:textFill>
        </w:rPr>
      </w:pPr>
    </w:p>
    <w:p>
      <w:pPr>
        <w:adjustRightInd w:val="0"/>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致：</w:t>
      </w:r>
      <w:r>
        <w:rPr>
          <w:rFonts w:hint="eastAsia" w:ascii="宋体" w:hAnsi="宋体" w:eastAsia="宋体" w:cs="宋体"/>
          <w:color w:val="000000" w:themeColor="text1"/>
          <w:szCs w:val="21"/>
          <w:u w:val="single"/>
          <w14:textFill>
            <w14:solidFill>
              <w14:schemeClr w14:val="tx1"/>
            </w14:solidFill>
          </w14:textFill>
        </w:rPr>
        <w:t>（招标人）</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根据招标人为</w:t>
      </w:r>
      <w:r>
        <w:rPr>
          <w:rFonts w:hint="eastAsia" w:ascii="宋体" w:hAnsi="宋体" w:eastAsia="宋体" w:cs="宋体"/>
          <w:color w:val="000000" w:themeColor="text1"/>
          <w:szCs w:val="21"/>
          <w:u w:val="single"/>
          <w14:textFill>
            <w14:solidFill>
              <w14:schemeClr w14:val="tx1"/>
            </w14:solidFill>
          </w14:textFill>
        </w:rPr>
        <w:t>（项目名称）</w:t>
      </w:r>
      <w:r>
        <w:rPr>
          <w:rFonts w:hint="eastAsia" w:ascii="宋体" w:hAnsi="宋体" w:eastAsia="宋体" w:cs="宋体"/>
          <w:color w:val="000000" w:themeColor="text1"/>
          <w:szCs w:val="21"/>
          <w14:textFill>
            <w14:solidFill>
              <w14:schemeClr w14:val="tx1"/>
            </w14:solidFill>
          </w14:textFill>
        </w:rPr>
        <w:t>项目招标采购货物及服务的</w:t>
      </w:r>
      <w:r>
        <w:rPr>
          <w:rFonts w:hint="eastAsia" w:ascii="宋体" w:hAnsi="宋体" w:eastAsia="宋体" w:cs="宋体"/>
          <w:color w:val="000000" w:themeColor="text1"/>
          <w:szCs w:val="21"/>
          <w:lang w:val="en-US" w:eastAsia="zh-CN"/>
          <w14:textFill>
            <w14:solidFill>
              <w14:schemeClr w14:val="tx1"/>
            </w14:solidFill>
          </w14:textFill>
        </w:rPr>
        <w:t>招标公告</w:t>
      </w:r>
      <w:r>
        <w:rPr>
          <w:rFonts w:hint="eastAsia" w:ascii="宋体" w:hAnsi="宋体" w:eastAsia="宋体" w:cs="宋体"/>
          <w:color w:val="000000" w:themeColor="text1"/>
          <w:szCs w:val="21"/>
          <w:u w:val="single"/>
          <w14:textFill>
            <w14:solidFill>
              <w14:schemeClr w14:val="tx1"/>
            </w14:solidFill>
          </w14:textFill>
        </w:rPr>
        <w:t xml:space="preserve">  (招标编号） </w:t>
      </w:r>
      <w:r>
        <w:rPr>
          <w:rFonts w:hint="eastAsia" w:ascii="宋体" w:hAnsi="宋体" w:eastAsia="宋体" w:cs="宋体"/>
          <w:color w:val="000000" w:themeColor="text1"/>
          <w:szCs w:val="21"/>
          <w14:textFill>
            <w14:solidFill>
              <w14:schemeClr w14:val="tx1"/>
            </w14:solidFill>
          </w14:textFill>
        </w:rPr>
        <w:t>，投标人</w:t>
      </w:r>
      <w:r>
        <w:rPr>
          <w:rFonts w:hint="eastAsia" w:ascii="宋体" w:hAnsi="宋体" w:eastAsia="宋体" w:cs="宋体"/>
          <w:color w:val="000000" w:themeColor="text1"/>
          <w:szCs w:val="21"/>
          <w:u w:val="single"/>
          <w14:textFill>
            <w14:solidFill>
              <w14:schemeClr w14:val="tx1"/>
            </w14:solidFill>
          </w14:textFill>
        </w:rPr>
        <w:t xml:space="preserve">  (投标人名称、地址） </w:t>
      </w:r>
      <w:r>
        <w:rPr>
          <w:rFonts w:hint="eastAsia" w:ascii="宋体" w:hAnsi="宋体" w:eastAsia="宋体" w:cs="宋体"/>
          <w:color w:val="000000" w:themeColor="text1"/>
          <w:szCs w:val="21"/>
          <w14:textFill>
            <w14:solidFill>
              <w14:schemeClr w14:val="tx1"/>
            </w14:solidFill>
          </w14:textFill>
        </w:rPr>
        <w:t>提交下述文件正本一份及副本份：</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投标一览表</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投标单项报价表</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合同条款偏离表</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技术规格偏离表</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按招标文件投标人须知和技术规格要求提供的有关文件</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资格证明文件</w:t>
      </w:r>
    </w:p>
    <w:p>
      <w:pPr>
        <w:numPr>
          <w:ilvl w:val="0"/>
          <w:numId w:val="73"/>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投标保证金，金额为</w:t>
      </w:r>
      <w:r>
        <w:rPr>
          <w:rFonts w:hint="eastAsia" w:ascii="宋体" w:hAnsi="宋体" w:eastAsia="宋体" w:cs="宋体"/>
          <w:color w:val="000000" w:themeColor="text1"/>
          <w:szCs w:val="21"/>
          <w:u w:val="single"/>
          <w14:textFill>
            <w14:solidFill>
              <w14:schemeClr w14:val="tx1"/>
            </w14:solidFill>
          </w14:textFill>
        </w:rPr>
        <w:t>（金额数和币种）</w:t>
      </w:r>
      <w:r>
        <w:rPr>
          <w:rFonts w:hint="eastAsia" w:ascii="宋体" w:hAnsi="宋体" w:eastAsia="宋体" w:cs="宋体"/>
          <w:color w:val="000000" w:themeColor="text1"/>
          <w:szCs w:val="21"/>
          <w14:textFill>
            <w14:solidFill>
              <w14:schemeClr w14:val="tx1"/>
            </w14:solidFill>
          </w14:textFill>
        </w:rPr>
        <w:t>。</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据此，投标人同意如下内容：</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所附投标价格表中规定的应提交和交付的投标价格遵循开标一览表。</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投标人将按招标文件的规定履行合同责任和义务。</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投标人已详细审解读全部招标文件，（包括第编号、补遗书）（如果有的话）。</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遵从本投标有效期为</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天。</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如果在规定的开标时间后，我方在投标有效期内撤回投标，投标保证金将被贵方没收。</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我方承诺，与贵方聘请的为此项目提供咨询服务的公司及任何附属机构均无关联关系，我方不是贵方的附属机构。</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我方同意提供按照贵方可能要求的与其投标有关的一切数据或资料，完全理解贵方不一定接受最低价的投标。</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我方承诺：我方不得将本次招标或合同的有关资料向第三方透露。</w:t>
      </w:r>
    </w:p>
    <w:p>
      <w:pPr>
        <w:numPr>
          <w:ilvl w:val="0"/>
          <w:numId w:val="74"/>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与本投标有关的一切正式往来信函请寄：</w:t>
      </w:r>
    </w:p>
    <w:p>
      <w:pPr>
        <w:adjustRightInd w:val="0"/>
        <w:snapToGrid w:val="0"/>
        <w:spacing w:line="360" w:lineRule="auto"/>
        <w:ind w:firstLine="420" w:firstLineChars="200"/>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地址      </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邮编</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传真</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电话</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电子邮箱</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法定代表人或其委托代理人：（签字或电子签名）</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bookmarkStart w:id="382" w:name="_Toc107822559"/>
      <w:bookmarkStart w:id="383" w:name="_Toc534142828"/>
      <w:bookmarkStart w:id="384" w:name="_Toc371002590"/>
      <w:bookmarkStart w:id="385" w:name="_Toc368993658"/>
      <w:bookmarkStart w:id="386" w:name="_Toc226969361"/>
      <w:bookmarkStart w:id="387" w:name="_Toc227057967"/>
      <w:bookmarkStart w:id="388" w:name="_Toc488655908"/>
    </w:p>
    <w:p>
      <w:pPr>
        <w:adjustRightInd w:val="0"/>
        <w:snapToGrid w:val="0"/>
        <w:spacing w:line="360" w:lineRule="auto"/>
        <w:ind w:firstLine="420" w:firstLineChars="200"/>
        <w:jc w:val="both"/>
        <w:rPr>
          <w:rFonts w:hint="eastAsia" w:ascii="宋体" w:hAnsi="宋体" w:eastAsia="宋体" w:cs="宋体"/>
          <w:color w:val="000000" w:themeColor="text1"/>
          <w:sz w:val="21"/>
          <w:szCs w:val="21"/>
          <w14:textFill>
            <w14:solidFill>
              <w14:schemeClr w14:val="tx1"/>
            </w14:solidFill>
          </w14:textFill>
        </w:rPr>
      </w:pPr>
    </w:p>
    <w:p>
      <w:pPr>
        <w:numPr>
          <w:ilvl w:val="0"/>
          <w:numId w:val="72"/>
        </w:numPr>
        <w:bidi w:val="0"/>
        <w:rPr>
          <w:rFonts w:hint="eastAsia" w:ascii="宋体" w:hAnsi="宋体" w:eastAsia="宋体" w:cs="宋体"/>
        </w:rPr>
      </w:pPr>
      <w:bookmarkStart w:id="389" w:name="_Toc85736445"/>
      <w:bookmarkStart w:id="390" w:name="_Toc70626990"/>
      <w:bookmarkStart w:id="391" w:name="_Toc53246085"/>
      <w:bookmarkStart w:id="392" w:name="_Toc85736539"/>
      <w:bookmarkStart w:id="393" w:name="_Toc46421277"/>
      <w:bookmarkStart w:id="394" w:name="_Toc90407513"/>
      <w:bookmarkStart w:id="395" w:name="_Toc53245894"/>
      <w:r>
        <w:rPr>
          <w:rFonts w:hint="eastAsia" w:ascii="宋体" w:hAnsi="宋体" w:eastAsia="宋体" w:cs="宋体"/>
        </w:rPr>
        <w:t>开标一览表</w:t>
      </w:r>
      <w:bookmarkEnd w:id="382"/>
      <w:bookmarkEnd w:id="383"/>
      <w:bookmarkEnd w:id="384"/>
      <w:bookmarkEnd w:id="385"/>
      <w:bookmarkEnd w:id="386"/>
      <w:bookmarkEnd w:id="387"/>
      <w:bookmarkEnd w:id="389"/>
      <w:bookmarkEnd w:id="390"/>
      <w:bookmarkEnd w:id="391"/>
      <w:bookmarkEnd w:id="392"/>
      <w:bookmarkEnd w:id="393"/>
      <w:bookmarkEnd w:id="394"/>
      <w:bookmarkEnd w:id="395"/>
    </w:p>
    <w:p>
      <w:pPr>
        <w:jc w:val="center"/>
        <w:rPr>
          <w:rFonts w:hint="eastAsia" w:ascii="宋体" w:hAnsi="宋体" w:eastAsia="宋体" w:cs="宋体"/>
          <w:b/>
          <w:color w:val="000000" w:themeColor="text1"/>
          <w:sz w:val="24"/>
          <w14:textFill>
            <w14:solidFill>
              <w14:schemeClr w14:val="tx1"/>
            </w14:solidFill>
          </w14:textFill>
        </w:rPr>
      </w:pPr>
      <w:bookmarkStart w:id="396" w:name="_Toc106527636"/>
    </w:p>
    <w:bookmarkEnd w:id="388"/>
    <w:bookmarkEnd w:id="396"/>
    <w:p>
      <w:pPr>
        <w:adjustRightInd w:val="0"/>
        <w:snapToGrid w:val="0"/>
        <w:spacing w:line="360" w:lineRule="auto"/>
        <w:jc w:val="center"/>
        <w:rPr>
          <w:rFonts w:hint="eastAsia" w:ascii="宋体" w:hAnsi="宋体" w:eastAsia="宋体" w:cs="宋体"/>
          <w:b/>
          <w:snapToGrid w:val="0"/>
          <w:color w:val="000000" w:themeColor="text1"/>
          <w:kern w:val="0"/>
          <w:sz w:val="32"/>
          <w:szCs w:val="32"/>
          <w14:textFill>
            <w14:solidFill>
              <w14:schemeClr w14:val="tx1"/>
            </w14:solidFill>
          </w14:textFill>
        </w:rPr>
      </w:pPr>
      <w:r>
        <w:rPr>
          <w:rFonts w:hint="eastAsia" w:ascii="宋体" w:hAnsi="宋体" w:eastAsia="宋体" w:cs="宋体"/>
          <w:b/>
          <w:snapToGrid w:val="0"/>
          <w:color w:val="000000" w:themeColor="text1"/>
          <w:kern w:val="0"/>
          <w:sz w:val="32"/>
          <w:szCs w:val="32"/>
          <w14:textFill>
            <w14:solidFill>
              <w14:schemeClr w14:val="tx1"/>
            </w14:solidFill>
          </w14:textFill>
        </w:rPr>
        <w:t>开标一览表</w:t>
      </w: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项目名称：</w:t>
      </w: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                                      </w:t>
      </w:r>
      <w:r>
        <w:rPr>
          <w:rFonts w:hint="eastAsia" w:ascii="宋体" w:hAnsi="宋体" w:eastAsia="宋体" w:cs="宋体"/>
          <w:snapToGrid w:val="0"/>
          <w:color w:val="000000" w:themeColor="text1"/>
          <w:kern w:val="0"/>
          <w:szCs w:val="21"/>
          <w14:textFill>
            <w14:solidFill>
              <w14:schemeClr w14:val="tx1"/>
            </w14:solidFill>
          </w14:textFill>
        </w:rPr>
        <w:t xml:space="preserve">项目编号：       </w:t>
      </w:r>
      <w:r>
        <w:rPr>
          <w:rFonts w:hint="eastAsia" w:ascii="EYInterstate Light" w:hAnsi="EYInterstate Light"/>
          <w:snapToGrid w:val="0"/>
          <w:color w:val="000000" w:themeColor="text1"/>
          <w:kern w:val="0"/>
          <w:szCs w:val="21"/>
          <w14:textFill>
            <w14:solidFill>
              <w14:schemeClr w14:val="tx1"/>
            </w14:solidFill>
          </w14:textFill>
        </w:rPr>
        <w:t xml:space="preserve">    </w:t>
      </w:r>
    </w:p>
    <w:tbl>
      <w:tblPr>
        <w:tblStyle w:val="4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77"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投标报价</w:t>
            </w:r>
          </w:p>
        </w:tc>
        <w:tc>
          <w:tcPr>
            <w:tcW w:w="6245" w:type="dxa"/>
            <w:vAlign w:val="bottom"/>
          </w:tcPr>
          <w:p>
            <w:pPr>
              <w:adjustRightInd w:val="0"/>
              <w:snapToGrid w:val="0"/>
              <w:spacing w:line="360" w:lineRule="auto"/>
              <w:rPr>
                <w:rFonts w:hint="eastAsia" w:ascii="宋体" w:hAnsi="宋体" w:eastAsia="宋体" w:cs="宋体"/>
                <w:b/>
                <w:snapToGrid w:val="0"/>
                <w:color w:val="000000" w:themeColor="text1"/>
                <w:kern w:val="0"/>
                <w:sz w:val="21"/>
                <w:szCs w:val="21"/>
                <w:u w:val="single"/>
                <w:lang w:val="en-US" w:eastAsia="zh-CN"/>
                <w14:textFill>
                  <w14:solidFill>
                    <w14:schemeClr w14:val="tx1"/>
                  </w14:solidFill>
                </w14:textFill>
              </w:rPr>
            </w:pPr>
            <w:r>
              <w:rPr>
                <w:rFonts w:hint="eastAsia" w:ascii="宋体" w:hAnsi="宋体" w:eastAsia="宋体" w:cs="宋体"/>
                <w:snapToGrid w:val="0"/>
                <w:color w:val="000000" w:themeColor="text1"/>
                <w:kern w:val="0"/>
                <w:szCs w:val="21"/>
                <w:u w:val="single"/>
                <w:lang w:val="en-US" w:eastAsia="zh-CN"/>
                <w14:textFill>
                  <w14:solidFill>
                    <w14:schemeClr w14:val="tx1"/>
                  </w14:solidFill>
                </w14:textFill>
              </w:rPr>
              <w:t xml:space="preserve">       </w:t>
            </w:r>
            <w:r>
              <w:rPr>
                <w:rFonts w:hint="eastAsia" w:ascii="宋体" w:hAnsi="宋体" w:eastAsia="宋体" w:cs="宋体"/>
                <w:snapToGrid w:val="0"/>
                <w:color w:val="000000" w:themeColor="text1"/>
                <w:kern w:val="0"/>
                <w:szCs w:val="21"/>
                <w:lang w:val="en-US" w:eastAsia="zh-CN"/>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77"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实施周期</w:t>
            </w:r>
          </w:p>
        </w:tc>
        <w:tc>
          <w:tcPr>
            <w:tcW w:w="6245"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满足招标文件要求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77"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项目负责人</w:t>
            </w:r>
          </w:p>
        </w:tc>
        <w:tc>
          <w:tcPr>
            <w:tcW w:w="6245"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p>
        </w:tc>
      </w:tr>
    </w:tbl>
    <w:p>
      <w:pPr>
        <w:adjustRightInd w:val="0"/>
        <w:snapToGrid w:val="0"/>
        <w:spacing w:line="360" w:lineRule="auto"/>
        <w:jc w:val="left"/>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法定代表人或其委托代理人：（签字或电子签名）</w:t>
      </w:r>
    </w:p>
    <w:p>
      <w:pPr>
        <w:pStyle w:val="24"/>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widowControl/>
        <w:jc w:val="right"/>
        <w:rPr>
          <w:rFonts w:ascii="EYInterstate Light" w:hAnsi="EYInterstate Light"/>
          <w:iCs/>
          <w:color w:val="000000" w:themeColor="text1"/>
          <w:sz w:val="24"/>
          <w14:textFill>
            <w14:solidFill>
              <w14:schemeClr w14:val="tx1"/>
            </w14:solidFill>
          </w14:textFill>
        </w:rPr>
      </w:pPr>
    </w:p>
    <w:p>
      <w:pPr>
        <w:widowControl/>
        <w:rPr>
          <w:rFonts w:ascii="EYInterstate Light" w:hAnsi="EYInterstate Light"/>
          <w:i/>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bidi w:val="0"/>
        <w:rPr>
          <w:rFonts w:ascii="宋体" w:hAnsi="宋体" w:eastAsia="宋体"/>
          <w:i/>
          <w:color w:val="000000" w:themeColor="text1"/>
          <w:sz w:val="24"/>
          <w:szCs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bookmarkStart w:id="397" w:name="_Toc226969362"/>
      <w:bookmarkStart w:id="398" w:name="_Toc85736446"/>
      <w:bookmarkStart w:id="399" w:name="_Toc85736540"/>
      <w:bookmarkStart w:id="400" w:name="_Toc90407514"/>
      <w:bookmarkStart w:id="401" w:name="_Toc534142829"/>
      <w:bookmarkStart w:id="402" w:name="_Toc371002591"/>
      <w:bookmarkStart w:id="403" w:name="_Toc107822560"/>
      <w:bookmarkStart w:id="404" w:name="_Toc227057968"/>
      <w:bookmarkStart w:id="405" w:name="_Toc368993659"/>
      <w:bookmarkStart w:id="406" w:name="_Toc488655909"/>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三</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报价明细表</w:t>
      </w:r>
      <w:bookmarkEnd w:id="397"/>
      <w:bookmarkEnd w:id="398"/>
      <w:bookmarkEnd w:id="399"/>
      <w:bookmarkEnd w:id="400"/>
      <w:bookmarkEnd w:id="401"/>
      <w:bookmarkEnd w:id="402"/>
      <w:bookmarkEnd w:id="403"/>
      <w:bookmarkEnd w:id="404"/>
      <w:bookmarkEnd w:id="405"/>
    </w:p>
    <w:tbl>
      <w:tblPr>
        <w:tblStyle w:val="46"/>
        <w:tblW w:w="8331" w:type="dxa"/>
        <w:tblInd w:w="288" w:type="dxa"/>
        <w:tblLayout w:type="fixed"/>
        <w:tblCellMar>
          <w:top w:w="0" w:type="dxa"/>
          <w:left w:w="108" w:type="dxa"/>
          <w:bottom w:w="0" w:type="dxa"/>
          <w:right w:w="108" w:type="dxa"/>
        </w:tblCellMar>
      </w:tblPr>
      <w:tblGrid>
        <w:gridCol w:w="713"/>
        <w:gridCol w:w="3024"/>
        <w:gridCol w:w="779"/>
        <w:gridCol w:w="779"/>
        <w:gridCol w:w="1005"/>
        <w:gridCol w:w="1080"/>
        <w:gridCol w:w="951"/>
      </w:tblGrid>
      <w:tr>
        <w:tblPrEx>
          <w:tblCellMar>
            <w:top w:w="0" w:type="dxa"/>
            <w:left w:w="108" w:type="dxa"/>
            <w:bottom w:w="0" w:type="dxa"/>
            <w:right w:w="108" w:type="dxa"/>
          </w:tblCellMar>
        </w:tblPrEx>
        <w:trPr>
          <w:trHeight w:val="555"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报价内容</w:t>
            </w: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单位</w:t>
            </w: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数量</w:t>
            </w: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单价</w:t>
            </w: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合价</w:t>
            </w: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备注</w:t>
            </w: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w:t>
            </w:r>
          </w:p>
        </w:tc>
        <w:tc>
          <w:tcPr>
            <w:tcW w:w="302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费用1</w:t>
            </w: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302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二</w:t>
            </w:r>
          </w:p>
        </w:tc>
        <w:tc>
          <w:tcPr>
            <w:tcW w:w="302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费用2</w:t>
            </w: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302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302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本项目费用总计</w:t>
            </w:r>
          </w:p>
        </w:tc>
        <w:tc>
          <w:tcPr>
            <w:tcW w:w="4594" w:type="dxa"/>
            <w:gridSpan w:val="5"/>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 xml:space="preserve"> 大写：                     小写：             </w:t>
            </w:r>
          </w:p>
        </w:tc>
      </w:tr>
    </w:tbl>
    <w:p>
      <w:pPr>
        <w:rPr>
          <w:rFonts w:ascii="宋体" w:hAnsi="宋体"/>
          <w:color w:val="000000" w:themeColor="text1"/>
          <w14:textFill>
            <w14:solidFill>
              <w14:schemeClr w14:val="tx1"/>
            </w14:solidFill>
          </w14:textFill>
        </w:rPr>
      </w:pPr>
    </w:p>
    <w:bookmarkEnd w:id="406"/>
    <w:p>
      <w:pPr>
        <w:adjustRightInd w:val="0"/>
        <w:snapToGrid w:val="0"/>
        <w:spacing w:line="360" w:lineRule="auto"/>
        <w:ind w:firstLine="420" w:firstLineChars="200"/>
        <w:jc w:val="right"/>
        <w:rPr>
          <w:rFonts w:ascii="宋体" w:hAnsi="宋体"/>
          <w:color w:val="000000" w:themeColor="text1"/>
          <w:szCs w:val="21"/>
          <w14:textFill>
            <w14:solidFill>
              <w14:schemeClr w14:val="tx1"/>
            </w14:solidFill>
          </w14:textFill>
        </w:rPr>
      </w:pP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注：各投标人应根据报价内容对报价明细表进行充分分析报价，</w:t>
      </w:r>
      <w:r>
        <w:rPr>
          <w:rFonts w:hint="eastAsia" w:ascii="宋体" w:hAnsi="宋体" w:eastAsia="宋体" w:cs="宋体"/>
          <w:snapToGrid w:val="0"/>
          <w:color w:val="000000" w:themeColor="text1"/>
          <w:kern w:val="0"/>
          <w:szCs w:val="21"/>
          <w14:textFill>
            <w14:solidFill>
              <w14:schemeClr w14:val="tx1"/>
            </w14:solidFill>
          </w14:textFill>
        </w:rPr>
        <w:t>本项目为总价包干项目，投标报价已包含完成项目所需的全部费用，后续不过追加</w:t>
      </w:r>
      <w:r>
        <w:rPr>
          <w:rFonts w:hint="eastAsia" w:ascii="宋体" w:hAnsi="宋体" w:eastAsia="宋体" w:cs="宋体"/>
          <w:color w:val="000000" w:themeColor="text1"/>
          <w:szCs w:val="21"/>
          <w14:textFill>
            <w14:solidFill>
              <w14:schemeClr w14:val="tx1"/>
            </w14:solidFill>
          </w14:textFill>
        </w:rPr>
        <w:t>。</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法定代表人或其委托代理人：（签字或电子签名）</w:t>
      </w:r>
    </w:p>
    <w:p>
      <w:pPr>
        <w:adjustRightInd w:val="0"/>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eastAsia="宋体"/>
          <w:color w:val="000000" w:themeColor="text1"/>
          <w:sz w:val="24"/>
          <w14:textFill>
            <w14:solidFill>
              <w14:schemeClr w14:val="tx1"/>
            </w14:solidFill>
          </w14:textFill>
        </w:rPr>
      </w:pPr>
    </w:p>
    <w:p>
      <w:pPr>
        <w:pStyle w:val="31"/>
        <w:rPr>
          <w:color w:val="000000" w:themeColor="text1"/>
          <w14:textFill>
            <w14:solidFill>
              <w14:schemeClr w14:val="tx1"/>
            </w14:solidFill>
          </w14:textFill>
        </w:rPr>
      </w:pPr>
    </w:p>
    <w:p>
      <w:pPr>
        <w:rPr>
          <w:rFonts w:eastAsia="宋体"/>
          <w:color w:val="000000" w:themeColor="text1"/>
          <w14:textFill>
            <w14:solidFill>
              <w14:schemeClr w14:val="tx1"/>
            </w14:solidFill>
          </w14:textFill>
        </w:rPr>
      </w:pPr>
    </w:p>
    <w:p>
      <w:pPr>
        <w:pStyle w:val="31"/>
        <w:rPr>
          <w:color w:val="000000" w:themeColor="text1"/>
          <w14:textFill>
            <w14:solidFill>
              <w14:schemeClr w14:val="tx1"/>
            </w14:solidFill>
          </w14:textFill>
        </w:rPr>
      </w:pPr>
    </w:p>
    <w:p>
      <w:pPr>
        <w:rPr>
          <w:rFonts w:eastAsia="宋体"/>
          <w:color w:val="000000" w:themeColor="text1"/>
          <w14:textFill>
            <w14:solidFill>
              <w14:schemeClr w14:val="tx1"/>
            </w14:solidFill>
          </w14:textFill>
        </w:rPr>
      </w:pPr>
    </w:p>
    <w:p>
      <w:pPr>
        <w:adjustRightInd w:val="0"/>
        <w:snapToGrid w:val="0"/>
        <w:spacing w:line="360" w:lineRule="auto"/>
        <w:ind w:firstLine="3465" w:firstLineChars="1650"/>
        <w:rPr>
          <w:rFonts w:hAnsi="EYInterstate Light"/>
          <w:color w:val="000000" w:themeColor="text1"/>
          <w:szCs w:val="21"/>
          <w14:textFill>
            <w14:solidFill>
              <w14:schemeClr w14:val="tx1"/>
            </w14:solidFill>
          </w14:textFill>
        </w:rPr>
      </w:pPr>
    </w:p>
    <w:p>
      <w:pPr>
        <w:pStyle w:val="3"/>
        <w:keepNext/>
        <w:keepLines/>
        <w:pageBreakBefore w:val="0"/>
        <w:widowControl w:val="0"/>
        <w:numPr>
          <w:ilvl w:val="0"/>
          <w:numId w:val="71"/>
        </w:numPr>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07" w:name="_Toc23500"/>
      <w:bookmarkStart w:id="408" w:name="_Toc5530"/>
      <w:bookmarkStart w:id="409" w:name="_Toc53245896"/>
      <w:bookmarkStart w:id="410" w:name="_Toc26671"/>
      <w:bookmarkStart w:id="411" w:name="_Toc17512"/>
      <w:bookmarkStart w:id="412" w:name="_Toc12330"/>
      <w:bookmarkStart w:id="413" w:name="_Toc70626991"/>
      <w:bookmarkStart w:id="414" w:name="_Toc18100"/>
      <w:bookmarkStart w:id="415" w:name="_Toc30168"/>
      <w:bookmarkStart w:id="416" w:name="_Toc3399"/>
      <w:bookmarkStart w:id="417" w:name="_Toc534142830"/>
      <w:bookmarkStart w:id="418" w:name="_Toc371002592"/>
      <w:bookmarkStart w:id="419" w:name="_Toc368993660"/>
      <w:r>
        <w:rPr>
          <w:rFonts w:hint="eastAsia" w:ascii="宋体" w:hAnsi="宋体" w:cs="宋体"/>
        </w:rPr>
        <w:t>商务文件</w:t>
      </w:r>
      <w:bookmarkEnd w:id="407"/>
      <w:bookmarkEnd w:id="408"/>
      <w:bookmarkEnd w:id="409"/>
      <w:bookmarkEnd w:id="410"/>
      <w:bookmarkEnd w:id="411"/>
      <w:bookmarkEnd w:id="412"/>
      <w:bookmarkEnd w:id="413"/>
      <w:bookmarkEnd w:id="414"/>
      <w:bookmarkEnd w:id="415"/>
      <w:bookmarkEnd w:id="416"/>
    </w:p>
    <w:p>
      <w:pPr>
        <w:bidi w:val="0"/>
        <w:jc w:val="center"/>
        <w:rPr>
          <w:rFonts w:hint="eastAsia" w:ascii="宋体" w:hAnsi="宋体" w:eastAsia="宋体" w:cs="宋体"/>
        </w:rPr>
      </w:pPr>
      <w:bookmarkStart w:id="420" w:name="_Toc53246088"/>
      <w:bookmarkStart w:id="421" w:name="_Toc85736542"/>
      <w:bookmarkStart w:id="422" w:name="_Toc46421280"/>
      <w:bookmarkStart w:id="423" w:name="_Toc70626992"/>
      <w:bookmarkStart w:id="424" w:name="_Toc90407516"/>
      <w:bookmarkStart w:id="425" w:name="_Toc53245897"/>
      <w:bookmarkStart w:id="426" w:name="_Toc85736448"/>
      <w:r>
        <w:rPr>
          <w:rFonts w:hint="eastAsia" w:ascii="宋体" w:hAnsi="宋体" w:eastAsia="宋体" w:cs="宋体"/>
        </w:rPr>
        <w:t>目录</w:t>
      </w:r>
      <w:bookmarkEnd w:id="420"/>
      <w:bookmarkEnd w:id="421"/>
      <w:bookmarkEnd w:id="422"/>
      <w:bookmarkEnd w:id="423"/>
      <w:bookmarkEnd w:id="424"/>
      <w:bookmarkEnd w:id="425"/>
      <w:bookmarkEnd w:id="426"/>
    </w:p>
    <w:p>
      <w:pPr>
        <w:bidi w:val="0"/>
        <w:rPr>
          <w:b w:val="0"/>
          <w:bCs w:val="0"/>
          <w:snapToGrid w:val="0"/>
          <w:color w:val="000000" w:themeColor="text1"/>
          <w:kern w:val="0"/>
          <w:szCs w:val="21"/>
          <w14:textFill>
            <w14:solidFill>
              <w14:schemeClr w14:val="tx1"/>
            </w14:solidFill>
          </w14:textFill>
        </w:rPr>
      </w:pPr>
      <w:bookmarkStart w:id="427" w:name="_Toc90407517"/>
      <w:bookmarkStart w:id="428" w:name="_Toc85736449"/>
      <w:bookmarkStart w:id="429" w:name="_Toc53245898"/>
      <w:bookmarkStart w:id="430" w:name="_Toc53246089"/>
      <w:bookmarkStart w:id="431" w:name="_Toc70626993"/>
      <w:bookmarkStart w:id="432" w:name="_Toc46421281"/>
      <w:bookmarkStart w:id="433" w:name="_Toc85736543"/>
      <w:r>
        <w:rPr>
          <w:rFonts w:hint="eastAsia" w:ascii="宋体" w:hAnsi="宋体" w:eastAsia="宋体" w:cs="宋体"/>
          <w:b w:val="0"/>
          <w:bCs w:val="0"/>
          <w:snapToGrid w:val="0"/>
          <w:color w:val="000000" w:themeColor="text1"/>
          <w:kern w:val="0"/>
          <w:sz w:val="21"/>
          <w:szCs w:val="21"/>
          <w14:textFill>
            <w14:solidFill>
              <w14:schemeClr w14:val="tx1"/>
            </w14:solidFill>
          </w14:textFill>
        </w:rPr>
        <w:t>参照第二章投标人须知</w:t>
      </w:r>
      <w:r>
        <w:rPr>
          <w:rFonts w:hint="eastAsia" w:ascii="宋体" w:hAnsi="宋体" w:eastAsia="宋体" w:cs="宋体"/>
          <w:b w:val="0"/>
          <w:bCs w:val="0"/>
          <w:snapToGrid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snapToGrid w:val="0"/>
          <w:color w:val="000000" w:themeColor="text1"/>
          <w:kern w:val="0"/>
          <w:sz w:val="21"/>
          <w:szCs w:val="21"/>
          <w14:textFill>
            <w14:solidFill>
              <w14:schemeClr w14:val="tx1"/>
            </w14:solidFill>
          </w14:textFill>
        </w:rPr>
        <w:t>商务文件</w:t>
      </w:r>
      <w:r>
        <w:rPr>
          <w:rFonts w:hint="eastAsia" w:ascii="宋体" w:hAnsi="宋体" w:eastAsia="宋体" w:cs="宋体"/>
          <w:b w:val="0"/>
          <w:bCs w:val="0"/>
          <w:snapToGrid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snapToGrid w:val="0"/>
          <w:color w:val="000000" w:themeColor="text1"/>
          <w:kern w:val="0"/>
          <w:sz w:val="21"/>
          <w:szCs w:val="21"/>
          <w14:textFill>
            <w14:solidFill>
              <w14:schemeClr w14:val="tx1"/>
            </w14:solidFill>
          </w14:textFill>
        </w:rPr>
        <w:t>（部分参考格式附后）</w:t>
      </w:r>
      <w:r>
        <w:rPr>
          <w:rFonts w:hint="eastAsia" w:ascii="宋体" w:hAnsi="宋体" w:eastAsia="宋体" w:cs="宋体"/>
          <w:snapToGrid w:val="0"/>
          <w:color w:val="000000" w:themeColor="text1"/>
          <w:kern w:val="0"/>
          <w:sz w:val="21"/>
          <w:szCs w:val="21"/>
          <w14:textFill>
            <w14:solidFill>
              <w14:schemeClr w14:val="tx1"/>
            </w14:solidFill>
          </w14:textFill>
        </w:rPr>
        <w:br w:type="page"/>
      </w:r>
      <w:bookmarkStart w:id="434" w:name="_Toc53245899"/>
      <w:bookmarkStart w:id="435" w:name="_Toc85736450"/>
      <w:bookmarkStart w:id="436" w:name="_Toc53246090"/>
      <w:bookmarkStart w:id="437" w:name="_Toc90407518"/>
      <w:bookmarkStart w:id="438" w:name="_Toc85736544"/>
      <w:bookmarkStart w:id="439" w:name="_Toc46421282"/>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投标人基本情况表</w:t>
      </w:r>
      <w:bookmarkEnd w:id="427"/>
      <w:bookmarkEnd w:id="428"/>
      <w:bookmarkEnd w:id="429"/>
      <w:bookmarkEnd w:id="430"/>
      <w:bookmarkEnd w:id="431"/>
      <w:bookmarkEnd w:id="432"/>
      <w:bookmarkEnd w:id="433"/>
      <w:bookmarkEnd w:id="434"/>
      <w:bookmarkEnd w:id="435"/>
      <w:bookmarkEnd w:id="436"/>
      <w:bookmarkEnd w:id="437"/>
      <w:bookmarkEnd w:id="438"/>
      <w:bookmarkEnd w:id="439"/>
    </w:p>
    <w:p>
      <w:pPr>
        <w:spacing w:after="120" w:line="360"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投标人基本情况表</w:t>
      </w:r>
    </w:p>
    <w:tbl>
      <w:tblPr>
        <w:tblStyle w:val="46"/>
        <w:tblW w:w="85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527"/>
        <w:gridCol w:w="1525"/>
        <w:gridCol w:w="643"/>
        <w:gridCol w:w="884"/>
        <w:gridCol w:w="1525"/>
        <w:gridCol w:w="111"/>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单位名称</w:t>
            </w:r>
          </w:p>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（公章或电子签章或合同章）</w:t>
            </w: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单位地址</w:t>
            </w: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主管部门</w:t>
            </w: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成立时间</w:t>
            </w: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营业执照编号</w:t>
            </w:r>
          </w:p>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（事业单位法人证书）</w:t>
            </w:r>
          </w:p>
        </w:tc>
        <w:tc>
          <w:tcPr>
            <w:tcW w:w="88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税务登记证编号</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单位性质</w:t>
            </w: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开户银行</w:t>
            </w:r>
          </w:p>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及账号</w:t>
            </w:r>
          </w:p>
        </w:tc>
        <w:tc>
          <w:tcPr>
            <w:tcW w:w="88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注册资金</w:t>
            </w:r>
          </w:p>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（万元）</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资质等级</w:t>
            </w:r>
          </w:p>
        </w:tc>
        <w:tc>
          <w:tcPr>
            <w:tcW w:w="1527" w:type="dxa"/>
          </w:tcPr>
          <w:p>
            <w:pP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证号</w:t>
            </w:r>
          </w:p>
        </w:tc>
        <w:tc>
          <w:tcPr>
            <w:tcW w:w="884" w:type="dxa"/>
          </w:tcPr>
          <w:p>
            <w:pP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发证单位</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国际质量体系认证</w:t>
            </w:r>
          </w:p>
        </w:tc>
        <w:tc>
          <w:tcPr>
            <w:tcW w:w="1527" w:type="dxa"/>
          </w:tcPr>
          <w:p>
            <w:pP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证号</w:t>
            </w:r>
          </w:p>
        </w:tc>
        <w:tc>
          <w:tcPr>
            <w:tcW w:w="884" w:type="dxa"/>
          </w:tcPr>
          <w:p>
            <w:pP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发证单位</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restart"/>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联系人</w:t>
            </w:r>
          </w:p>
        </w:tc>
        <w:tc>
          <w:tcPr>
            <w:tcW w:w="1527" w:type="dxa"/>
            <w:vMerge w:val="restart"/>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电话</w:t>
            </w:r>
          </w:p>
        </w:tc>
        <w:tc>
          <w:tcPr>
            <w:tcW w:w="3304" w:type="dxa"/>
            <w:gridSpan w:val="4"/>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传真</w:t>
            </w:r>
          </w:p>
        </w:tc>
        <w:tc>
          <w:tcPr>
            <w:tcW w:w="3304" w:type="dxa"/>
            <w:gridSpan w:val="4"/>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restart"/>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职工概况</w:t>
            </w: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职工总数</w:t>
            </w: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409"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其中：技术人员数</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教授级高工</w:t>
            </w: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409"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高工</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工程师</w:t>
            </w: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409"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技工和技术员</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单位行政和技术负责人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姓名</w:t>
            </w: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职务及职称</w:t>
            </w: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年龄</w:t>
            </w: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专业</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bl>
    <w:p>
      <w:pPr>
        <w:spacing w:line="360" w:lineRule="atLeast"/>
        <w:ind w:left="4055" w:leftChars="1881" w:hanging="105" w:hangingChars="50"/>
        <w:rPr>
          <w:rFonts w:ascii="EYInterstate Light" w:hAnsi="EYInterstate Light"/>
          <w:color w:val="000000" w:themeColor="text1"/>
          <w:szCs w:val="21"/>
          <w14:textFill>
            <w14:solidFill>
              <w14:schemeClr w14:val="tx1"/>
            </w14:solidFill>
          </w14:textFill>
        </w:rPr>
      </w:pPr>
    </w:p>
    <w:p>
      <w:pPr>
        <w:spacing w:line="360" w:lineRule="atLeast"/>
        <w:ind w:firstLine="1680" w:firstLineChars="8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投标人(盖公章或电子签章或合同章)：</w:t>
      </w:r>
    </w:p>
    <w:p>
      <w:pPr>
        <w:spacing w:line="360" w:lineRule="atLeast"/>
        <w:ind w:firstLine="1680" w:firstLineChars="800"/>
        <w:rPr>
          <w:rFonts w:hint="eastAsia" w:ascii="宋体" w:hAnsi="宋体" w:eastAsia="宋体" w:cs="宋体"/>
          <w:color w:val="000000" w:themeColor="text1"/>
          <w:szCs w:val="21"/>
          <w14:textFill>
            <w14:solidFill>
              <w14:schemeClr w14:val="tx1"/>
            </w14:solidFill>
          </w14:textFill>
        </w:rPr>
      </w:pPr>
    </w:p>
    <w:p>
      <w:pPr>
        <w:spacing w:line="360" w:lineRule="atLeas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日      期：</w:t>
      </w:r>
    </w:p>
    <w:p>
      <w:pPr>
        <w:bidi w:val="0"/>
        <w:rPr>
          <w:rFonts w:hint="eastAsia" w:ascii="EYInterstate Light" w:hAnsi="EYInterstate Light" w:eastAsia="EYInterstate Light" w:cs="Tahoma"/>
          <w:b/>
          <w:bCs/>
          <w:color w:val="000000" w:themeColor="text1"/>
          <w:kern w:val="2"/>
          <w:sz w:val="24"/>
          <w:szCs w:val="24"/>
          <w:lang w:val="zh-CN" w:eastAsia="zh-CN" w:bidi="ar-SA"/>
          <w14:textFill>
            <w14:solidFill>
              <w14:schemeClr w14:val="tx1"/>
            </w14:solidFill>
          </w14:textFill>
        </w:rPr>
      </w:pPr>
    </w:p>
    <w:p>
      <w:pPr>
        <w:bidi w:val="0"/>
        <w:rPr>
          <w:rFonts w:hint="eastAsia" w:ascii="EYInterstate Light" w:hAnsi="EYInterstate Light" w:eastAsia="EYInterstate Light" w:cs="Tahoma"/>
          <w:b/>
          <w:bCs/>
          <w:color w:val="000000" w:themeColor="text1"/>
          <w:kern w:val="2"/>
          <w:sz w:val="24"/>
          <w:szCs w:val="24"/>
          <w:lang w:val="zh-CN" w:eastAsia="zh-CN" w:bidi="ar-SA"/>
          <w14:textFill>
            <w14:solidFill>
              <w14:schemeClr w14:val="tx1"/>
            </w14:solidFill>
          </w14:textFill>
        </w:rPr>
      </w:pPr>
    </w:p>
    <w:p>
      <w:pPr>
        <w:bidi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kern w:val="2"/>
          <w:sz w:val="24"/>
          <w:szCs w:val="24"/>
          <w:lang w:val="zh-CN" w:eastAsia="zh-CN" w:bidi="ar-SA"/>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二</w:t>
      </w:r>
      <w:r>
        <w:rPr>
          <w:rFonts w:hint="eastAsia" w:ascii="宋体" w:hAnsi="宋体" w:eastAsia="宋体" w:cs="宋体"/>
          <w:b/>
          <w:bCs/>
          <w:color w:val="000000" w:themeColor="text1"/>
          <w:kern w:val="2"/>
          <w:sz w:val="24"/>
          <w:szCs w:val="24"/>
          <w:lang w:val="zh-CN" w:eastAsia="zh-CN" w:bidi="ar-SA"/>
          <w14:textFill>
            <w14:solidFill>
              <w14:schemeClr w14:val="tx1"/>
            </w14:solidFill>
          </w14:textFill>
        </w:rPr>
        <w:t>）</w:t>
      </w:r>
      <w:bookmarkStart w:id="440" w:name="_Toc85736545"/>
      <w:bookmarkStart w:id="441" w:name="_Toc90407519"/>
      <w:bookmarkStart w:id="442" w:name="_Toc85736451"/>
      <w:bookmarkStart w:id="443" w:name="_Toc53246091"/>
      <w:bookmarkStart w:id="444" w:name="_Toc46421283"/>
      <w:bookmarkStart w:id="445" w:name="_Toc53245900"/>
      <w:bookmarkStart w:id="446" w:name="_Toc70626994"/>
      <w:r>
        <w:rPr>
          <w:rFonts w:hint="eastAsia" w:ascii="宋体" w:hAnsi="宋体" w:eastAsia="宋体" w:cs="宋体"/>
          <w:color w:val="000000" w:themeColor="text1"/>
          <w:sz w:val="24"/>
          <w:szCs w:val="24"/>
          <w:lang w:eastAsia="zh-CN"/>
          <w14:textFill>
            <w14:solidFill>
              <w14:schemeClr w14:val="tx1"/>
            </w14:solidFill>
          </w14:textFill>
        </w:rPr>
        <w:t>投标保证金缴款凭证复印件</w:t>
      </w:r>
      <w:bookmarkEnd w:id="440"/>
      <w:bookmarkEnd w:id="441"/>
      <w:bookmarkEnd w:id="442"/>
      <w:bookmarkEnd w:id="443"/>
      <w:bookmarkEnd w:id="444"/>
      <w:bookmarkEnd w:id="445"/>
      <w:bookmarkEnd w:id="446"/>
    </w:p>
    <w:p>
      <w:pPr>
        <w:snapToGrid w:val="0"/>
        <w:spacing w:line="360" w:lineRule="auto"/>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sz w:val="32"/>
          <w14:textFill>
            <w14:solidFill>
              <w14:schemeClr w14:val="tx1"/>
            </w14:solidFill>
          </w14:textFill>
        </w:rPr>
        <w:t>投标保证金交纳凭证复印件</w:t>
      </w:r>
    </w:p>
    <w:tbl>
      <w:tblPr>
        <w:tblStyle w:val="46"/>
        <w:tblW w:w="8585" w:type="dxa"/>
        <w:jc w:val="center"/>
        <w:tblLayout w:type="fixed"/>
        <w:tblCellMar>
          <w:top w:w="0" w:type="dxa"/>
          <w:left w:w="0" w:type="dxa"/>
          <w:bottom w:w="0" w:type="dxa"/>
          <w:right w:w="0" w:type="dxa"/>
        </w:tblCellMar>
      </w:tblPr>
      <w:tblGrid>
        <w:gridCol w:w="8585"/>
      </w:tblGrid>
      <w:tr>
        <w:tblPrEx>
          <w:tblCellMar>
            <w:top w:w="0" w:type="dxa"/>
            <w:left w:w="0" w:type="dxa"/>
            <w:bottom w:w="0" w:type="dxa"/>
            <w:right w:w="0" w:type="dxa"/>
          </w:tblCellMar>
        </w:tblPrEx>
        <w:trPr>
          <w:trHeight w:val="4189" w:hRule="atLeast"/>
          <w:jc w:val="center"/>
        </w:trPr>
        <w:tc>
          <w:tcPr>
            <w:tcW w:w="85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autoSpaceDE w:val="0"/>
              <w:autoSpaceDN w:val="0"/>
              <w:snapToGrid w:val="0"/>
              <w:spacing w:line="360" w:lineRule="auto"/>
              <w:jc w:val="center"/>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投标保证金交纳凭证复印件粘贴处</w:t>
            </w:r>
          </w:p>
        </w:tc>
      </w:tr>
    </w:tbl>
    <w:p>
      <w:pPr>
        <w:widowControl/>
        <w:autoSpaceDE w:val="0"/>
        <w:autoSpaceDN w:val="0"/>
        <w:snapToGrid w:val="0"/>
        <w:spacing w:line="360" w:lineRule="auto"/>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为了招标结束后尽快退还贵公司投标保证金，请在投标文件中提供贵公司投标保证金退还的相关信息</w:t>
      </w:r>
    </w:p>
    <w:tbl>
      <w:tblPr>
        <w:tblStyle w:val="46"/>
        <w:tblW w:w="8607" w:type="dxa"/>
        <w:tblInd w:w="0" w:type="dxa"/>
        <w:tblLayout w:type="fixed"/>
        <w:tblCellMar>
          <w:top w:w="0" w:type="dxa"/>
          <w:left w:w="108" w:type="dxa"/>
          <w:bottom w:w="0" w:type="dxa"/>
          <w:right w:w="108" w:type="dxa"/>
        </w:tblCellMar>
      </w:tblPr>
      <w:tblGrid>
        <w:gridCol w:w="3348"/>
        <w:gridCol w:w="5259"/>
      </w:tblGrid>
      <w:tr>
        <w:tblPrEx>
          <w:tblCellMar>
            <w:top w:w="0" w:type="dxa"/>
            <w:left w:w="108" w:type="dxa"/>
            <w:bottom w:w="0" w:type="dxa"/>
            <w:right w:w="108" w:type="dxa"/>
          </w:tblCellMar>
        </w:tblPrEx>
        <w:trPr>
          <w:trHeight w:val="527"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项目编号</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762"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项目名称</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亿利达</w:t>
            </w:r>
            <w:r>
              <w:rPr>
                <w:rFonts w:hint="eastAsia" w:ascii="宋体" w:hAnsi="宋体" w:eastAsia="宋体" w:cs="宋体"/>
                <w:b w:val="0"/>
                <w:bCs w:val="0"/>
                <w:color w:val="000000" w:themeColor="text1"/>
                <w:sz w:val="18"/>
                <w:szCs w:val="1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18"/>
                <w:szCs w:val="18"/>
                <w14:textFill>
                  <w14:solidFill>
                    <w14:schemeClr w14:val="tx1"/>
                  </w14:solidFill>
                </w14:textFill>
              </w:rPr>
              <w:t>项目</w:t>
            </w:r>
          </w:p>
        </w:tc>
      </w:tr>
      <w:tr>
        <w:tblPrEx>
          <w:tblCellMar>
            <w:top w:w="0" w:type="dxa"/>
            <w:left w:w="108" w:type="dxa"/>
            <w:bottom w:w="0" w:type="dxa"/>
            <w:right w:w="108" w:type="dxa"/>
          </w:tblCellMar>
        </w:tblPrEx>
        <w:trPr>
          <w:trHeight w:val="527"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已缴纳的投标保证金金额</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人民币：</w:t>
            </w:r>
          </w:p>
        </w:tc>
      </w:tr>
      <w:tr>
        <w:tblPrEx>
          <w:tblCellMar>
            <w:top w:w="0" w:type="dxa"/>
            <w:left w:w="108" w:type="dxa"/>
            <w:bottom w:w="0" w:type="dxa"/>
            <w:right w:w="108" w:type="dxa"/>
          </w:tblCellMar>
        </w:tblPrEx>
        <w:trPr>
          <w:trHeight w:val="527"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投标保证金退还银行账号</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按照开票信息</w:t>
            </w:r>
          </w:p>
        </w:tc>
      </w:tr>
      <w:tr>
        <w:tblPrEx>
          <w:tblCellMar>
            <w:top w:w="0" w:type="dxa"/>
            <w:left w:w="108" w:type="dxa"/>
            <w:bottom w:w="0" w:type="dxa"/>
            <w:right w:w="108" w:type="dxa"/>
          </w:tblCellMar>
        </w:tblPrEx>
        <w:trPr>
          <w:trHeight w:val="926"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若中标，中标服务费发票类型</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 ）增值税普通发票</w:t>
            </w:r>
            <w:r>
              <w:rPr>
                <w:rFonts w:hint="eastAsia" w:ascii="宋体" w:hAnsi="宋体" w:eastAsia="宋体" w:cs="宋体"/>
                <w:b w:val="0"/>
                <w:bCs w:val="0"/>
                <w:color w:val="000000" w:themeColor="text1"/>
                <w:sz w:val="18"/>
                <w:szCs w:val="1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18"/>
                <w:szCs w:val="18"/>
                <w14:textFill>
                  <w14:solidFill>
                    <w14:schemeClr w14:val="tx1"/>
                  </w14:solidFill>
                </w14:textFill>
              </w:rPr>
              <w:t>（ ）增值税专用发票</w:t>
            </w:r>
          </w:p>
        </w:tc>
      </w:tr>
      <w:tr>
        <w:tblPrEx>
          <w:tblCellMar>
            <w:top w:w="0" w:type="dxa"/>
            <w:left w:w="108" w:type="dxa"/>
            <w:bottom w:w="0" w:type="dxa"/>
            <w:right w:w="108" w:type="dxa"/>
          </w:tblCellMar>
        </w:tblPrEx>
        <w:trPr>
          <w:trHeight w:val="1858"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开票信息</w:t>
            </w:r>
          </w:p>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（普通发票只需要提供纳税识别号，专用发票需要财务确认过的开票信息）</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纳税识别号：</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（税务部门备案的）地址：</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（税务部门备案的）电话：</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开户行：</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银行账号：</w:t>
            </w:r>
          </w:p>
        </w:tc>
      </w:tr>
      <w:tr>
        <w:tblPrEx>
          <w:tblCellMar>
            <w:top w:w="0" w:type="dxa"/>
            <w:left w:w="108" w:type="dxa"/>
            <w:bottom w:w="0" w:type="dxa"/>
            <w:right w:w="108" w:type="dxa"/>
          </w:tblCellMar>
        </w:tblPrEx>
        <w:trPr>
          <w:trHeight w:val="543"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若中标，服务费发票快递接收地址、联系人、电话</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地址：</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收件人：</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电话：</w:t>
            </w:r>
          </w:p>
        </w:tc>
      </w:tr>
    </w:tbl>
    <w:p>
      <w:pPr>
        <w:bidi w:val="0"/>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447" w:name="_Toc70626995"/>
      <w:bookmarkStart w:id="448" w:name="_Toc46421284"/>
      <w:bookmarkStart w:id="449" w:name="_Toc53245901"/>
      <w:bookmarkStart w:id="450" w:name="_Toc53246092"/>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（三）法定代表人身份证明及授权书</w:t>
      </w:r>
    </w:p>
    <w:p>
      <w:pPr>
        <w:numPr>
          <w:ilvl w:val="0"/>
          <w:numId w:val="0"/>
        </w:numPr>
        <w:ind w:left="0" w:leftChars="0" w:firstLine="420" w:firstLineChars="0"/>
        <w:rPr>
          <w:rFonts w:hint="eastAsia" w:ascii="宋体" w:hAnsi="宋体" w:eastAsia="宋体" w:cs="宋体"/>
          <w:color w:val="000000" w:themeColor="text1"/>
          <w:kern w:val="2"/>
          <w:sz w:val="21"/>
          <w:szCs w:val="24"/>
          <w:lang w:val="en-US" w:eastAsia="zh-CN" w:bidi="ar-SA"/>
          <w14:textFill>
            <w14:solidFill>
              <w14:schemeClr w14:val="tx1"/>
            </w14:solidFill>
          </w14:textFill>
        </w:rPr>
      </w:pPr>
    </w:p>
    <w:p>
      <w:pPr>
        <w:pageBreakBefore w:val="0"/>
        <w:widowControl w:val="0"/>
        <w:numPr>
          <w:ilvl w:val="0"/>
          <w:numId w:val="75"/>
        </w:numPr>
        <w:kinsoku/>
        <w:wordWrap/>
        <w:overflowPunct/>
        <w:topLinePunct w:val="0"/>
        <w:autoSpaceDE/>
        <w:autoSpaceDN/>
        <w:bidi w:val="0"/>
        <w:ind w:left="0" w:leftChars="0" w:firstLine="42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法定代表人身份证明</w:t>
      </w:r>
      <w:bookmarkEnd w:id="447"/>
      <w:bookmarkEnd w:id="448"/>
      <w:bookmarkEnd w:id="449"/>
      <w:bookmarkEnd w:id="450"/>
    </w:p>
    <w:p>
      <w:pPr>
        <w:pStyle w:val="5"/>
        <w:spacing w:line="360" w:lineRule="auto"/>
        <w:ind w:firstLineChars="20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投标人名称：______________________________.</w:t>
      </w:r>
    </w:p>
    <w:p>
      <w:pPr>
        <w:pStyle w:val="5"/>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单位性质：_________________________________.</w:t>
      </w:r>
    </w:p>
    <w:p>
      <w:pPr>
        <w:pStyle w:val="5"/>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地址：_____________________________________.</w:t>
      </w:r>
    </w:p>
    <w:p>
      <w:pPr>
        <w:pStyle w:val="5"/>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成立时间：_________________________________.</w:t>
      </w:r>
    </w:p>
    <w:p>
      <w:pPr>
        <w:pStyle w:val="5"/>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经营期限：_________________________________.</w:t>
      </w:r>
    </w:p>
    <w:p>
      <w:pPr>
        <w:pStyle w:val="5"/>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姓名：_______性别：______年龄：_____职务：______</w:t>
      </w:r>
    </w:p>
    <w:p>
      <w:pPr>
        <w:pStyle w:val="5"/>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系_____________________（投标人名称）的法定代表人。</w:t>
      </w:r>
    </w:p>
    <w:p>
      <w:pPr>
        <w:pStyle w:val="5"/>
        <w:spacing w:line="360" w:lineRule="auto"/>
        <w:ind w:firstLine="367" w:firstLineChars="175"/>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特此证明</w:t>
      </w:r>
    </w:p>
    <w:p>
      <w:pPr>
        <w:pStyle w:val="5"/>
        <w:spacing w:line="360" w:lineRule="auto"/>
        <w:ind w:firstLine="3990" w:firstLineChars="190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投标人：（盖公章或电子签章或合同章）</w:t>
      </w:r>
    </w:p>
    <w:p>
      <w:pPr>
        <w:pStyle w:val="5"/>
        <w:spacing w:line="360" w:lineRule="auto"/>
        <w:ind w:firstLine="4095" w:firstLineChars="195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_________年_________月_______日</w:t>
      </w:r>
    </w:p>
    <w:p>
      <w:pPr>
        <w:pStyle w:val="5"/>
        <w:spacing w:line="360" w:lineRule="auto"/>
        <w:ind w:firstLine="4095" w:firstLineChars="1950"/>
        <w:rPr>
          <w:rFonts w:ascii="EYInterstate Light" w:hAnsi="EYInterstate Light" w:eastAsia="EYInterstate Light"/>
          <w:bCs/>
          <w:color w:val="000000" w:themeColor="text1"/>
          <w:sz w:val="21"/>
          <w:szCs w:val="21"/>
          <w14:textFill>
            <w14:solidFill>
              <w14:schemeClr w14:val="tx1"/>
            </w14:solidFill>
          </w14:textFill>
        </w:rPr>
      </w:pPr>
    </w:p>
    <w:tbl>
      <w:tblPr>
        <w:tblStyle w:val="46"/>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0" w:hRule="atLeast"/>
        </w:trPr>
        <w:tc>
          <w:tcPr>
            <w:tcW w:w="8720" w:type="dxa"/>
          </w:tcPr>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hint="eastAsia"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14:textFill>
                  <w14:solidFill>
                    <w14:schemeClr w14:val="tx1"/>
                  </w14:solidFill>
                </w14:textFill>
              </w:rPr>
              <w:t>法定代表人有效、清晰身份证复印件或扫描件</w:t>
            </w:r>
          </w:p>
          <w:p>
            <w:pPr>
              <w:pStyle w:val="5"/>
              <w:spacing w:line="360" w:lineRule="auto"/>
              <w:ind w:firstLine="0"/>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粘贴或扫描处</w:t>
            </w: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tc>
      </w:tr>
    </w:tbl>
    <w:p>
      <w:pPr>
        <w:pStyle w:val="5"/>
        <w:spacing w:line="360" w:lineRule="auto"/>
        <w:ind w:firstLine="4680" w:firstLineChars="1950"/>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4680" w:firstLineChars="1950"/>
        <w:rPr>
          <w:rFonts w:ascii="EYInterstate Light" w:hAnsi="EYInterstate Light" w:eastAsia="EYInterstate Light"/>
          <w:bCs/>
          <w:color w:val="000000" w:themeColor="text1"/>
          <w:sz w:val="24"/>
          <w:szCs w:val="24"/>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p>
    <w:p>
      <w:pPr>
        <w:numPr>
          <w:ilvl w:val="0"/>
          <w:numId w:val="75"/>
        </w:numPr>
        <w:bidi w:val="0"/>
        <w:rPr>
          <w:rFonts w:hint="eastAsia" w:ascii="宋体" w:hAnsi="宋体" w:eastAsia="宋体" w:cs="宋体"/>
        </w:rPr>
      </w:pPr>
      <w:bookmarkStart w:id="451" w:name="_Toc85736548"/>
      <w:bookmarkStart w:id="452" w:name="_Toc371002595"/>
      <w:bookmarkStart w:id="453" w:name="_Toc90407522"/>
      <w:bookmarkStart w:id="454" w:name="_Toc226969366"/>
      <w:bookmarkStart w:id="455" w:name="_Toc53246093"/>
      <w:bookmarkStart w:id="456" w:name="_Toc85736454"/>
      <w:bookmarkStart w:id="457" w:name="_Toc53245902"/>
      <w:bookmarkStart w:id="458" w:name="_Toc46421285"/>
      <w:bookmarkStart w:id="459" w:name="_Toc227057972"/>
      <w:bookmarkStart w:id="460" w:name="_Toc368993663"/>
      <w:bookmarkStart w:id="461" w:name="_Toc534142832"/>
      <w:bookmarkStart w:id="462" w:name="_Toc70626996"/>
      <w:r>
        <w:rPr>
          <w:rFonts w:hint="eastAsia" w:ascii="宋体" w:hAnsi="宋体" w:eastAsia="宋体" w:cs="宋体"/>
        </w:rPr>
        <w:t>法定代表人授权书</w:t>
      </w:r>
      <w:bookmarkEnd w:id="451"/>
      <w:bookmarkEnd w:id="452"/>
      <w:bookmarkEnd w:id="453"/>
      <w:bookmarkEnd w:id="454"/>
      <w:bookmarkEnd w:id="455"/>
      <w:bookmarkEnd w:id="456"/>
      <w:bookmarkEnd w:id="457"/>
      <w:bookmarkEnd w:id="458"/>
      <w:bookmarkEnd w:id="459"/>
      <w:bookmarkEnd w:id="460"/>
      <w:bookmarkEnd w:id="461"/>
      <w:bookmarkEnd w:id="462"/>
    </w:p>
    <w:p>
      <w:pPr>
        <w:pStyle w:val="5"/>
        <w:spacing w:line="240" w:lineRule="auto"/>
        <w:rPr>
          <w:rFonts w:hint="eastAsia" w:ascii="宋体" w:hAnsi="宋体" w:eastAsia="宋体" w:cs="宋体"/>
          <w:color w:val="000000" w:themeColor="text1"/>
          <w:sz w:val="24"/>
          <w:szCs w:val="24"/>
          <w14:textFill>
            <w14:solidFill>
              <w14:schemeClr w14:val="tx1"/>
            </w14:solidFill>
          </w14:textFill>
        </w:rPr>
      </w:pPr>
    </w:p>
    <w:p>
      <w:pPr>
        <w:jc w:val="center"/>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法定代表人授权委托书</w:t>
      </w:r>
    </w:p>
    <w:p>
      <w:pPr>
        <w:jc w:val="center"/>
        <w:rPr>
          <w:rFonts w:hint="eastAsia" w:ascii="宋体" w:hAnsi="宋体" w:eastAsia="宋体" w:cs="宋体"/>
          <w:b/>
          <w:bCs/>
          <w:color w:val="000000" w:themeColor="text1"/>
          <w:sz w:val="24"/>
          <w14:textFill>
            <w14:solidFill>
              <w14:schemeClr w14:val="tx1"/>
            </w14:solidFill>
          </w14:textFill>
        </w:rPr>
      </w:pPr>
    </w:p>
    <w:p>
      <w:pPr>
        <w:spacing w:line="360" w:lineRule="auto"/>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kern w:val="11"/>
          <w:sz w:val="24"/>
          <w:u w:val="single"/>
          <w14:textFill>
            <w14:solidFill>
              <w14:schemeClr w14:val="tx1"/>
            </w14:solidFill>
          </w14:textFill>
        </w:rPr>
        <w:t>（招标人）</w:t>
      </w:r>
      <w:r>
        <w:rPr>
          <w:rFonts w:hint="eastAsia" w:ascii="宋体" w:hAnsi="宋体" w:eastAsia="宋体" w:cs="宋体"/>
          <w:b/>
          <w:bCs/>
          <w:color w:val="000000" w:themeColor="text1"/>
          <w:sz w:val="24"/>
          <w:u w:val="single"/>
          <w14:textFill>
            <w14:solidFill>
              <w14:schemeClr w14:val="tx1"/>
            </w14:solidFill>
          </w14:textFill>
        </w:rPr>
        <w:t>：</w:t>
      </w:r>
    </w:p>
    <w:p>
      <w:pPr>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（投标人名称）</w:t>
      </w:r>
      <w:r>
        <w:rPr>
          <w:rFonts w:hint="eastAsia" w:ascii="宋体" w:hAnsi="宋体" w:eastAsia="宋体" w:cs="宋体"/>
          <w:color w:val="000000" w:themeColor="text1"/>
          <w:szCs w:val="21"/>
          <w14:textFill>
            <w14:solidFill>
              <w14:schemeClr w14:val="tx1"/>
            </w14:solidFill>
          </w14:textFill>
        </w:rPr>
        <w:t>法定代表人</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授权我单位</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u w:val="single"/>
          <w14:textFill>
            <w14:solidFill>
              <w14:schemeClr w14:val="tx1"/>
            </w14:solidFill>
          </w14:textFill>
        </w:rPr>
        <w:t>（职务或职称）</w:t>
      </w:r>
      <w:r>
        <w:rPr>
          <w:rFonts w:hint="eastAsia"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u w:val="single"/>
          <w14:textFill>
            <w14:solidFill>
              <w14:schemeClr w14:val="tx1"/>
            </w14:solidFill>
          </w14:textFill>
        </w:rPr>
        <w:t>（姓名）</w:t>
      </w:r>
      <w:r>
        <w:rPr>
          <w:rFonts w:hint="eastAsia" w:ascii="宋体" w:hAnsi="宋体" w:eastAsia="宋体" w:cs="宋体"/>
          <w:color w:val="000000" w:themeColor="text1"/>
          <w:szCs w:val="21"/>
          <w14:textFill>
            <w14:solidFill>
              <w14:schemeClr w14:val="tx1"/>
            </w14:solidFill>
          </w14:textFill>
        </w:rPr>
        <w:t>为我单位本次投标授权代理人，全权处理</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招标项目投标活动的一切事宜。该授权代理人作出的所有承诺说明，我单位均予于认可并承担全部责任。</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特此授权。有效期同投标有效期。</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bCs/>
          <w:color w:val="000000" w:themeColor="text1"/>
          <w:szCs w:val="21"/>
          <w14:textFill>
            <w14:solidFill>
              <w14:schemeClr w14:val="tx1"/>
            </w14:solidFill>
          </w14:textFill>
        </w:rPr>
        <w:t>盖公章或电子签章或合同章</w:t>
      </w:r>
      <w:r>
        <w:rPr>
          <w:rFonts w:hint="eastAsia" w:ascii="宋体" w:hAnsi="宋体" w:eastAsia="宋体" w:cs="宋体"/>
          <w:color w:val="000000" w:themeColor="text1"/>
          <w:szCs w:val="21"/>
          <w14:textFill>
            <w14:solidFill>
              <w14:schemeClr w14:val="tx1"/>
            </w14:solidFill>
          </w14:textFill>
        </w:rPr>
        <w:t>）</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法定代表人：（签字或电子签名）</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委托代理人：（签字或电子签名）</w:t>
      </w:r>
    </w:p>
    <w:p>
      <w:pPr>
        <w:wordWrap/>
        <w:spacing w:after="120" w:line="360" w:lineRule="auto"/>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日                                      </w:t>
      </w:r>
    </w:p>
    <w:tbl>
      <w:tblPr>
        <w:tblStyle w:val="46"/>
        <w:tblpPr w:leftFromText="180" w:rightFromText="180" w:vertAnchor="text" w:horzAnchor="margin" w:tblpY="259"/>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0" w:hRule="atLeast"/>
        </w:trPr>
        <w:tc>
          <w:tcPr>
            <w:tcW w:w="8720" w:type="dxa"/>
          </w:tcPr>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center"/>
              <w:rPr>
                <w:rFonts w:hint="eastAsia"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14:textFill>
                  <w14:solidFill>
                    <w14:schemeClr w14:val="tx1"/>
                  </w14:solidFill>
                </w14:textFill>
              </w:rPr>
              <w:t>授权代理人有效、清晰身份证复印件或扫描件</w:t>
            </w:r>
          </w:p>
          <w:p>
            <w:pPr>
              <w:pStyle w:val="5"/>
              <w:spacing w:line="360" w:lineRule="auto"/>
              <w:ind w:firstLine="0"/>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粘贴或扫描处</w:t>
            </w:r>
          </w:p>
          <w:p>
            <w:pPr>
              <w:pStyle w:val="5"/>
              <w:spacing w:line="360" w:lineRule="auto"/>
              <w:ind w:firstLine="0"/>
              <w:jc w:val="both"/>
              <w:rPr>
                <w:rFonts w:hint="eastAsia" w:ascii="宋体" w:hAnsi="宋体" w:eastAsia="宋体" w:cs="宋体"/>
                <w:bCs/>
                <w:color w:val="000000" w:themeColor="text1"/>
                <w:sz w:val="24"/>
                <w:szCs w:val="24"/>
                <w14:textFill>
                  <w14:solidFill>
                    <w14:schemeClr w14:val="tx1"/>
                  </w14:solidFill>
                </w14:textFill>
              </w:rPr>
            </w:pPr>
          </w:p>
          <w:p>
            <w:pPr>
              <w:pStyle w:val="5"/>
              <w:spacing w:line="360" w:lineRule="auto"/>
              <w:ind w:firstLine="0"/>
              <w:jc w:val="both"/>
              <w:rPr>
                <w:rFonts w:ascii="EYInterstate Light" w:hAnsi="EYInterstate Light" w:eastAsia="EYInterstate Light"/>
                <w:bCs/>
                <w:color w:val="000000" w:themeColor="text1"/>
                <w:sz w:val="24"/>
                <w:szCs w:val="24"/>
                <w14:textFill>
                  <w14:solidFill>
                    <w14:schemeClr w14:val="tx1"/>
                  </w14:solidFill>
                </w14:textFill>
              </w:rPr>
            </w:pPr>
          </w:p>
          <w:p>
            <w:pPr>
              <w:pStyle w:val="5"/>
              <w:spacing w:line="360" w:lineRule="auto"/>
              <w:ind w:firstLine="0"/>
              <w:jc w:val="both"/>
              <w:rPr>
                <w:rFonts w:ascii="EYInterstate Light" w:hAnsi="EYInterstate Light" w:eastAsia="EYInterstate Light"/>
                <w:bCs/>
                <w:color w:val="000000" w:themeColor="text1"/>
                <w:sz w:val="24"/>
                <w:szCs w:val="24"/>
                <w14:textFill>
                  <w14:solidFill>
                    <w14:schemeClr w14:val="tx1"/>
                  </w14:solidFill>
                </w14:textFill>
              </w:rPr>
            </w:pPr>
          </w:p>
        </w:tc>
      </w:tr>
    </w:tbl>
    <w:p>
      <w:pPr>
        <w:rPr>
          <w:color w:val="000000" w:themeColor="text1"/>
          <w14:textFill>
            <w14:solidFill>
              <w14:schemeClr w14:val="tx1"/>
            </w14:solidFill>
          </w14:textFill>
        </w:rPr>
      </w:pPr>
    </w:p>
    <w:p>
      <w:pPr>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numPr>
          <w:ilvl w:val="0"/>
          <w:numId w:val="0"/>
        </w:numP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（四）</w:t>
      </w:r>
      <w:r>
        <w:rPr>
          <w:rFonts w:hint="eastAsia" w:ascii="宋体" w:hAnsi="宋体" w:eastAsia="宋体" w:cs="宋体"/>
          <w:b/>
          <w:bCs/>
          <w:color w:val="000000" w:themeColor="text1"/>
          <w:sz w:val="24"/>
          <w14:textFill>
            <w14:solidFill>
              <w14:schemeClr w14:val="tx1"/>
            </w14:solidFill>
          </w14:textFill>
        </w:rPr>
        <w:t>资格证明文件：</w:t>
      </w:r>
    </w:p>
    <w:tbl>
      <w:tblPr>
        <w:tblStyle w:val="46"/>
        <w:tblW w:w="8704"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335"/>
        <w:gridCol w:w="4338"/>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64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2335" w:type="dxa"/>
            <w:vAlign w:val="center"/>
          </w:tcPr>
          <w:p>
            <w:pPr>
              <w:ind w:left="344" w:leftChars="114" w:hanging="105" w:hangingChars="5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评审因素</w:t>
            </w:r>
          </w:p>
        </w:tc>
        <w:tc>
          <w:tcPr>
            <w:tcW w:w="4338" w:type="dxa"/>
            <w:vAlign w:val="center"/>
          </w:tcPr>
          <w:p>
            <w:pPr>
              <w:ind w:left="2"/>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相关证明文件</w:t>
            </w:r>
          </w:p>
        </w:tc>
        <w:tc>
          <w:tcPr>
            <w:tcW w:w="1383" w:type="dxa"/>
            <w:vAlign w:val="center"/>
          </w:tcPr>
          <w:p>
            <w:pPr>
              <w:ind w:left="2"/>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投标人达到程度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4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2335" w:type="dxa"/>
            <w:vAlign w:val="center"/>
          </w:tcPr>
          <w:p>
            <w:pPr>
              <w:widowControl/>
              <w:adjustRightInd w:val="0"/>
              <w:snapToGrid w:val="0"/>
              <w:jc w:val="left"/>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b/>
                <w:snapToGrid w:val="0"/>
                <w:color w:val="000000" w:themeColor="text1"/>
                <w:kern w:val="0"/>
                <w:szCs w:val="21"/>
                <w14:textFill>
                  <w14:solidFill>
                    <w14:schemeClr w14:val="tx1"/>
                  </w14:solidFill>
                </w14:textFill>
              </w:rPr>
              <w:t>第五条要求</w:t>
            </w:r>
          </w:p>
        </w:tc>
        <w:tc>
          <w:tcPr>
            <w:tcW w:w="4338" w:type="dxa"/>
            <w:vAlign w:val="center"/>
          </w:tcPr>
          <w:p>
            <w:pPr>
              <w:tabs>
                <w:tab w:val="left" w:pos="720"/>
              </w:tabs>
              <w:adjustRightInd w:val="0"/>
              <w:snapToGrid w:val="0"/>
              <w:jc w:val="left"/>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招标文件投标须知</w:t>
            </w: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投标文件构成</w:t>
            </w:r>
            <w:r>
              <w:rPr>
                <w:rFonts w:hint="eastAsia" w:ascii="宋体" w:hAnsi="宋体" w:eastAsia="宋体" w:cs="宋体"/>
                <w:b/>
                <w:snapToGrid w:val="0"/>
                <w:color w:val="000000" w:themeColor="text1"/>
                <w:kern w:val="0"/>
                <w:szCs w:val="21"/>
                <w14:textFill>
                  <w14:solidFill>
                    <w14:schemeClr w14:val="tx1"/>
                  </w14:solidFill>
                </w14:textFill>
              </w:rPr>
              <w:t>如下资格证明文件规定的相关资料</w:t>
            </w:r>
          </w:p>
        </w:tc>
        <w:tc>
          <w:tcPr>
            <w:tcW w:w="1383" w:type="dxa"/>
            <w:vAlign w:val="center"/>
          </w:tcPr>
          <w:p>
            <w:pPr>
              <w:adjustRightInd w:val="0"/>
              <w:snapToGrid w:val="0"/>
              <w:jc w:val="left"/>
              <w:rPr>
                <w:rFonts w:hint="eastAsia" w:ascii="宋体" w:hAnsi="宋体" w:eastAsia="宋体" w:cs="宋体"/>
                <w:color w:val="000000" w:themeColor="text1"/>
                <w:szCs w:val="21"/>
                <w14:textFill>
                  <w14:solidFill>
                    <w14:schemeClr w14:val="tx1"/>
                  </w14:solidFill>
                </w14:textFill>
              </w:rPr>
            </w:pPr>
          </w:p>
        </w:tc>
      </w:tr>
    </w:tbl>
    <w:p>
      <w:pPr>
        <w:tabs>
          <w:tab w:val="left" w:pos="735"/>
        </w:tabs>
        <w:adjustRightInd w:val="0"/>
        <w:snapToGrid w:val="0"/>
        <w:spacing w:line="360" w:lineRule="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注：证明材料附后。</w:t>
      </w:r>
    </w:p>
    <w:p>
      <w:pPr>
        <w:pStyle w:val="31"/>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42"/>
        <w:numPr>
          <w:ilvl w:val="0"/>
          <w:numId w:val="76"/>
        </w:numPr>
        <w:shd w:val="clear" w:color="auto" w:fill="FFFFFF"/>
        <w:tabs>
          <w:tab w:val="left" w:pos="630"/>
          <w:tab w:val="left" w:pos="840"/>
          <w:tab w:val="left" w:pos="1050"/>
        </w:tabs>
        <w:adjustRightInd w:val="0"/>
        <w:snapToGrid w:val="0"/>
        <w:spacing w:before="0" w:beforeAutospacing="0" w:after="0" w:afterAutospacing="0" w:line="360" w:lineRule="auto"/>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具有独立承担民事责任能力的证明材料；</w:t>
      </w:r>
    </w:p>
    <w:p>
      <w:pPr>
        <w:pStyle w:val="42"/>
        <w:tabs>
          <w:tab w:val="left" w:pos="630"/>
          <w:tab w:val="left" w:pos="840"/>
          <w:tab w:val="left" w:pos="1050"/>
        </w:tabs>
        <w:adjustRightInd w:val="0"/>
        <w:snapToGrid w:val="0"/>
        <w:spacing w:before="0" w:beforeAutospacing="0" w:after="0" w:afterAutospacing="0" w:line="360" w:lineRule="auto"/>
        <w:ind w:left="42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投标人须在投标文件中出具符合以下情况的证明材料复印件（五选一）：</w:t>
      </w:r>
    </w:p>
    <w:p>
      <w:pPr>
        <w:pStyle w:val="42"/>
        <w:numPr>
          <w:ilvl w:val="0"/>
          <w:numId w:val="77"/>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如投标人是企业（包括合伙企业），提供在工商部门注册的有效“企业法人营业执照”或“营业执照”；</w:t>
      </w:r>
    </w:p>
    <w:p>
      <w:pPr>
        <w:pStyle w:val="42"/>
        <w:numPr>
          <w:ilvl w:val="0"/>
          <w:numId w:val="77"/>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如投标人是事业单位，提供有效的“事业单位法人证书”；</w:t>
      </w:r>
    </w:p>
    <w:p>
      <w:pPr>
        <w:pStyle w:val="42"/>
        <w:numPr>
          <w:ilvl w:val="0"/>
          <w:numId w:val="77"/>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如投标人是非企业专业服务机构的，提供执业许可证等证明文件；</w:t>
      </w:r>
    </w:p>
    <w:p>
      <w:pPr>
        <w:pStyle w:val="42"/>
        <w:numPr>
          <w:ilvl w:val="0"/>
          <w:numId w:val="77"/>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如投标人是个体工商户，提供有效的“个体工商户营业执照”；</w:t>
      </w:r>
    </w:p>
    <w:p>
      <w:pPr>
        <w:pStyle w:val="42"/>
        <w:numPr>
          <w:ilvl w:val="0"/>
          <w:numId w:val="77"/>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如投标人是自然人，提供有效的自然人身份证明（居民身份证正反面或公安机关出具的临时居民身份证正反面或港澳台胞证或护照）。</w:t>
      </w:r>
    </w:p>
    <w:p>
      <w:pPr>
        <w:pStyle w:val="42"/>
        <w:tabs>
          <w:tab w:val="left" w:pos="630"/>
          <w:tab w:val="left" w:pos="840"/>
          <w:tab w:val="left" w:pos="1050"/>
        </w:tabs>
        <w:adjustRightInd w:val="0"/>
        <w:snapToGrid w:val="0"/>
        <w:spacing w:before="0" w:beforeAutospacing="0" w:after="0" w:afterAutospacing="0" w:line="360" w:lineRule="auto"/>
        <w:ind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投标活动，由单位负责人签署相关文件材料。</w:t>
      </w:r>
    </w:p>
    <w:p>
      <w:pPr>
        <w:pStyle w:val="42"/>
        <w:numPr>
          <w:ilvl w:val="0"/>
          <w:numId w:val="76"/>
        </w:numPr>
        <w:shd w:val="clear" w:color="auto" w:fill="FFFFFF"/>
        <w:tabs>
          <w:tab w:val="left" w:pos="630"/>
          <w:tab w:val="left" w:pos="840"/>
          <w:tab w:val="left" w:pos="1050"/>
        </w:tabs>
        <w:adjustRightInd w:val="0"/>
        <w:snapToGrid w:val="0"/>
        <w:spacing w:before="0" w:beforeAutospacing="0" w:after="0" w:afterAutospacing="0" w:line="360" w:lineRule="auto"/>
        <w:rPr>
          <w:rFonts w:ascii="宋体" w:hAnsi="宋体" w:eastAsia="宋体" w:cs="宋体"/>
          <w:b/>
          <w:bCs/>
          <w:color w:val="000000" w:themeColor="text1"/>
          <w:sz w:val="21"/>
          <w:szCs w:val="21"/>
          <w14:textFill>
            <w14:solidFill>
              <w14:schemeClr w14:val="tx1"/>
            </w14:solidFill>
          </w14:textFill>
        </w:rPr>
      </w:pPr>
      <w:r>
        <w:rPr>
          <w:snapToGrid w:val="0"/>
          <w:color w:val="000000" w:themeColor="text1"/>
          <w14:textFill>
            <w14:solidFill>
              <w14:schemeClr w14:val="tx1"/>
            </w14:solidFill>
          </w14:textFill>
        </w:rPr>
        <w:br w:type="page"/>
      </w:r>
      <w:r>
        <w:rPr>
          <w:rFonts w:hint="eastAsia" w:ascii="宋体" w:hAnsi="宋体" w:eastAsia="宋体" w:cs="宋体"/>
          <w:b/>
          <w:bCs/>
          <w:color w:val="000000" w:themeColor="text1"/>
          <w:sz w:val="21"/>
          <w:szCs w:val="21"/>
          <w14:textFill>
            <w14:solidFill>
              <w14:schemeClr w14:val="tx1"/>
            </w14:solidFill>
          </w14:textFill>
        </w:rPr>
        <w:t>符合参与招投标活动资格条件的承诺函：</w:t>
      </w:r>
    </w:p>
    <w:p>
      <w:pPr>
        <w:pStyle w:val="42"/>
        <w:adjustRightInd w:val="0"/>
        <w:snapToGrid w:val="0"/>
        <w:spacing w:before="0" w:beforeAutospacing="0" w:after="0" w:afterAutospacing="0" w:line="360" w:lineRule="auto"/>
        <w:ind w:left="420" w:leftChars="200"/>
        <w:rPr>
          <w:rFonts w:ascii="宋体" w:hAnsi="宋体" w:cs="宋体"/>
          <w:b/>
          <w:bCs/>
          <w:color w:val="000000" w:themeColor="text1"/>
          <w:sz w:val="21"/>
          <w:szCs w:val="21"/>
          <w14:textFill>
            <w14:solidFill>
              <w14:schemeClr w14:val="tx1"/>
            </w14:solidFill>
          </w14:textFill>
        </w:rPr>
      </w:pPr>
    </w:p>
    <w:p>
      <w:pPr>
        <w:pStyle w:val="42"/>
        <w:adjustRightInd w:val="0"/>
        <w:snapToGrid w:val="0"/>
        <w:spacing w:before="0" w:beforeAutospacing="0" w:after="0" w:afterAutospacing="0" w:line="360" w:lineRule="auto"/>
        <w:jc w:val="center"/>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承诺函</w:t>
      </w:r>
    </w:p>
    <w:p>
      <w:pPr>
        <w:spacing w:line="360" w:lineRule="auto"/>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（招标人）：</w:t>
      </w:r>
    </w:p>
    <w:p>
      <w:pPr>
        <w:pStyle w:val="42"/>
        <w:spacing w:before="0" w:beforeAutospacing="0" w:after="0" w:afterAutospacing="0" w:line="360" w:lineRule="auto"/>
        <w:ind w:firstLine="840" w:firstLineChars="400"/>
        <w:rPr>
          <w:rFonts w:hint="eastAsia" w:ascii="宋体" w:hAnsi="宋体" w:eastAsia="宋体" w:cs="宋体"/>
          <w:b/>
          <w:bCs/>
          <w:color w:val="000000" w:themeColor="text1"/>
          <w:sz w:val="21"/>
          <w:szCs w:val="21"/>
          <w14:textFill>
            <w14:solidFill>
              <w14:schemeClr w14:val="tx1"/>
            </w14:solidFill>
          </w14:textFill>
        </w:rPr>
      </w:pPr>
    </w:p>
    <w:p>
      <w:pPr>
        <w:pStyle w:val="42"/>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w:t>
      </w:r>
      <w:r>
        <w:rPr>
          <w:rFonts w:hint="eastAsia" w:ascii="宋体" w:hAnsi="宋体" w:eastAsia="宋体" w:cs="宋体"/>
          <w:b/>
          <w:bCs/>
          <w:i/>
          <w:iCs/>
          <w:color w:val="000000" w:themeColor="text1"/>
          <w:sz w:val="21"/>
          <w:szCs w:val="21"/>
          <w:u w:val="single"/>
          <w14:textFill>
            <w14:solidFill>
              <w14:schemeClr w14:val="tx1"/>
            </w14:solidFill>
          </w14:textFill>
        </w:rPr>
        <w:t>（投标人全称）</w:t>
      </w:r>
      <w:r>
        <w:rPr>
          <w:rFonts w:hint="eastAsia" w:ascii="宋体" w:hAnsi="宋体" w:eastAsia="宋体" w:cs="宋体"/>
          <w:b/>
          <w:bCs/>
          <w:color w:val="000000" w:themeColor="text1"/>
          <w:sz w:val="21"/>
          <w:szCs w:val="21"/>
          <w14:textFill>
            <w14:solidFill>
              <w14:schemeClr w14:val="tx1"/>
            </w14:solidFill>
          </w14:textFill>
        </w:rPr>
        <w:t>参与</w:t>
      </w:r>
      <w:r>
        <w:rPr>
          <w:rFonts w:hint="eastAsia" w:ascii="宋体" w:hAnsi="宋体" w:eastAsia="宋体" w:cs="宋体"/>
          <w:b/>
          <w:bCs/>
          <w:i/>
          <w:iCs/>
          <w:color w:val="000000" w:themeColor="text1"/>
          <w:sz w:val="21"/>
          <w:szCs w:val="21"/>
          <w:u w:val="single"/>
          <w14:textFill>
            <w14:solidFill>
              <w14:schemeClr w14:val="tx1"/>
            </w14:solidFill>
          </w14:textFill>
        </w:rPr>
        <w:t xml:space="preserve">  （项目名称）   </w:t>
      </w:r>
      <w:r>
        <w:rPr>
          <w:rFonts w:hint="eastAsia" w:ascii="宋体" w:hAnsi="宋体" w:eastAsia="宋体" w:cs="宋体"/>
          <w:b/>
          <w:bCs/>
          <w:color w:val="000000" w:themeColor="text1"/>
          <w:sz w:val="21"/>
          <w:szCs w:val="21"/>
          <w14:textFill>
            <w14:solidFill>
              <w14:schemeClr w14:val="tx1"/>
            </w14:solidFill>
          </w14:textFill>
        </w:rPr>
        <w:t>招投标活动，针对投标资格所述条件做如下承诺：</w:t>
      </w:r>
    </w:p>
    <w:p>
      <w:pPr>
        <w:pStyle w:val="42"/>
        <w:numPr>
          <w:ilvl w:val="0"/>
          <w:numId w:val="78"/>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我方具有良好的商业信誉和健全的财务会计制度；</w:t>
      </w:r>
    </w:p>
    <w:p>
      <w:pPr>
        <w:pStyle w:val="42"/>
        <w:numPr>
          <w:ilvl w:val="0"/>
          <w:numId w:val="78"/>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我方具有履行本项目合同所必需的设备和专业技术能力；</w:t>
      </w:r>
    </w:p>
    <w:p>
      <w:pPr>
        <w:pStyle w:val="42"/>
        <w:numPr>
          <w:ilvl w:val="0"/>
          <w:numId w:val="78"/>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我方没有缴纳税收和社会保障等方面的失信记录；</w:t>
      </w:r>
    </w:p>
    <w:p>
      <w:pPr>
        <w:pStyle w:val="42"/>
        <w:numPr>
          <w:ilvl w:val="0"/>
          <w:numId w:val="78"/>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在参加本次招投标活动前三年内，在经营活动中没有重大违法记录（没有因违法经营受到刑事处罚，没有被责令停产停业、被吊销许可证或者执照、被处以较大数额罚款等行政处罚，没有因违法经营被禁止参加招投标活动的期限未满情形）</w:t>
      </w:r>
    </w:p>
    <w:p>
      <w:pPr>
        <w:pStyle w:val="42"/>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我方对上述承诺内容的真实性负责。如有虚假，将依法承担相应责任。</w:t>
      </w:r>
    </w:p>
    <w:p>
      <w:pPr>
        <w:spacing w:line="360" w:lineRule="auto"/>
        <w:ind w:firstLine="1680" w:firstLineChars="800"/>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投标人(盖公章或电子签章或合同章)：</w:t>
      </w:r>
    </w:p>
    <w:p>
      <w:pPr>
        <w:spacing w:line="360" w:lineRule="auto"/>
        <w:ind w:firstLine="1680" w:firstLineChars="800"/>
        <w:rPr>
          <w:rFonts w:hint="eastAsia" w:ascii="宋体" w:hAnsi="宋体" w:eastAsia="宋体" w:cs="宋体"/>
          <w:b/>
          <w:color w:val="000000" w:themeColor="text1"/>
          <w:szCs w:val="21"/>
          <w14:textFill>
            <w14:solidFill>
              <w14:schemeClr w14:val="tx1"/>
            </w14:solidFill>
          </w14:textFill>
        </w:rPr>
      </w:pPr>
    </w:p>
    <w:p>
      <w:pPr>
        <w:spacing w:line="360" w:lineRule="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 xml:space="preserve">                日      期：</w:t>
      </w:r>
    </w:p>
    <w:p>
      <w:pPr>
        <w:pStyle w:val="42"/>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p>
    <w:p>
      <w:pPr>
        <w:pStyle w:val="42"/>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特别说明：已完成信用修复的“缴纳税收和社会保障等方面的失信记录”不包含在上述第3点所述情形内（属于重大违法纪录情形的除外）。</w:t>
      </w:r>
    </w:p>
    <w:p>
      <w:pPr>
        <w:pStyle w:val="31"/>
        <w:rPr>
          <w:color w:val="000000" w:themeColor="text1"/>
          <w:sz w:val="24"/>
          <w14:textFill>
            <w14:solidFill>
              <w14:schemeClr w14:val="tx1"/>
            </w14:solidFill>
          </w14:textFill>
        </w:rPr>
      </w:pPr>
    </w:p>
    <w:p>
      <w:pPr>
        <w:numPr>
          <w:ilvl w:val="0"/>
          <w:numId w:val="0"/>
        </w:numPr>
        <w:rPr>
          <w:rFonts w:hint="eastAsia" w:ascii="EYInterstate Light" w:hAnsi="EYInterstate Light" w:eastAsia="EYInterstate Light" w:cs="Tahoma"/>
          <w:b/>
          <w:bCs/>
          <w:color w:val="000000" w:themeColor="text1"/>
          <w:kern w:val="2"/>
          <w:sz w:val="24"/>
          <w:szCs w:val="24"/>
          <w:lang w:val="zh-CN" w:eastAsia="zh-CN" w:bidi="ar-SA"/>
          <w14:textFill>
            <w14:solidFill>
              <w14:schemeClr w14:val="tx1"/>
            </w14:solidFill>
          </w14:textFill>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bookmarkStart w:id="463" w:name="_Toc85736552"/>
      <w:bookmarkStart w:id="464" w:name="_Toc46421289"/>
      <w:bookmarkStart w:id="465" w:name="_Toc227057969"/>
      <w:bookmarkStart w:id="466" w:name="_Toc53245906"/>
      <w:bookmarkStart w:id="467" w:name="_Toc85736458"/>
      <w:bookmarkStart w:id="468" w:name="_Toc90407526"/>
      <w:bookmarkStart w:id="469" w:name="_Toc53246097"/>
      <w:bookmarkStart w:id="470" w:name="_Toc226969363"/>
      <w:bookmarkStart w:id="471" w:name="_Toc70627000"/>
    </w:p>
    <w:p>
      <w:pPr>
        <w:numPr>
          <w:ilvl w:val="0"/>
          <w:numId w:val="0"/>
        </w:numPr>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zh-CN" w:eastAsia="zh-CN" w:bidi="ar-SA"/>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五</w:t>
      </w:r>
      <w:r>
        <w:rPr>
          <w:rFonts w:hint="eastAsia" w:ascii="宋体" w:hAnsi="宋体" w:eastAsia="宋体" w:cs="宋体"/>
          <w:b/>
          <w:bCs/>
          <w:color w:val="000000" w:themeColor="text1"/>
          <w:kern w:val="2"/>
          <w:sz w:val="24"/>
          <w:szCs w:val="24"/>
          <w:lang w:val="zh-CN" w:eastAsia="zh-CN" w:bidi="ar-SA"/>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合同条款偏离表</w:t>
      </w:r>
      <w:bookmarkEnd w:id="417"/>
      <w:bookmarkEnd w:id="418"/>
      <w:bookmarkEnd w:id="419"/>
      <w:bookmarkEnd w:id="463"/>
      <w:bookmarkEnd w:id="464"/>
      <w:bookmarkEnd w:id="465"/>
      <w:bookmarkEnd w:id="466"/>
      <w:bookmarkEnd w:id="467"/>
      <w:bookmarkEnd w:id="468"/>
      <w:bookmarkEnd w:id="469"/>
      <w:bookmarkEnd w:id="470"/>
      <w:bookmarkEnd w:id="471"/>
    </w:p>
    <w:p>
      <w:pPr>
        <w:jc w:val="center"/>
        <w:rPr>
          <w:rFonts w:hint="eastAsia" w:ascii="宋体" w:hAnsi="宋体" w:eastAsia="宋体" w:cs="宋体"/>
          <w:color w:val="000000" w:themeColor="text1"/>
          <w:sz w:val="24"/>
          <w14:textFill>
            <w14:solidFill>
              <w14:schemeClr w14:val="tx1"/>
            </w14:solidFill>
          </w14:textFill>
        </w:rPr>
      </w:pPr>
      <w:bookmarkStart w:id="472" w:name="_Toc106527641"/>
    </w:p>
    <w:bookmarkEnd w:id="472"/>
    <w:p>
      <w:pPr>
        <w:jc w:val="center"/>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合同条款偏离表</w:t>
      </w:r>
    </w:p>
    <w:p>
      <w:pPr>
        <w:jc w:val="center"/>
        <w:rPr>
          <w:rFonts w:hint="eastAsia" w:ascii="宋体" w:hAnsi="宋体" w:eastAsia="宋体" w:cs="宋体"/>
          <w:b/>
          <w:color w:val="000000" w:themeColor="text1"/>
          <w:sz w:val="24"/>
          <w14:textFill>
            <w14:solidFill>
              <w14:schemeClr w14:val="tx1"/>
            </w14:solidFill>
          </w14:textFill>
        </w:rPr>
      </w:pPr>
    </w:p>
    <w:p>
      <w:pPr>
        <w:spacing w:after="12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招标编号：</w:t>
      </w:r>
    </w:p>
    <w:tbl>
      <w:tblPr>
        <w:tblStyle w:val="46"/>
        <w:tblW w:w="8455" w:type="dxa"/>
        <w:tblInd w:w="4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86"/>
        <w:gridCol w:w="1750"/>
        <w:gridCol w:w="2370"/>
        <w:gridCol w:w="2268"/>
        <w:gridCol w:w="1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686"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75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招标文件条目号</w:t>
            </w:r>
          </w:p>
        </w:tc>
        <w:tc>
          <w:tcPr>
            <w:tcW w:w="237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招标文件的合同条款</w:t>
            </w:r>
          </w:p>
        </w:tc>
        <w:tc>
          <w:tcPr>
            <w:tcW w:w="226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投标文件的合同条款</w:t>
            </w:r>
          </w:p>
        </w:tc>
        <w:tc>
          <w:tcPr>
            <w:tcW w:w="1381"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hint="eastAsia"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1</w:t>
            </w:r>
          </w:p>
        </w:tc>
        <w:tc>
          <w:tcPr>
            <w:tcW w:w="175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37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268"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1381" w:type="dxa"/>
            <w:vAlign w:val="center"/>
          </w:tcPr>
          <w:p>
            <w:pPr>
              <w:jc w:val="center"/>
              <w:rPr>
                <w:rFonts w:hint="eastAsia"/>
                <w:szCs w:val="21"/>
                <w:lang w:val="en-US" w:eastAsia="zh-CN"/>
              </w:rPr>
            </w:pPr>
            <w:r>
              <w:rPr>
                <w:szCs w:val="21"/>
              </w:rPr>
              <w:sym w:font="Wingdings" w:char="00A8"/>
            </w:r>
            <w:r>
              <w:rPr>
                <w:rFonts w:hint="eastAsia"/>
                <w:szCs w:val="21"/>
                <w:lang w:val="en-US" w:eastAsia="zh-CN"/>
              </w:rPr>
              <w:t>正偏离</w:t>
            </w:r>
          </w:p>
          <w:p>
            <w:pPr>
              <w:pStyle w:val="17"/>
              <w:jc w:val="center"/>
              <w:rPr>
                <w:rFonts w:hint="default" w:ascii="Tahoma" w:hAnsi="Tahoma" w:eastAsia="EYInterstate Light" w:cs="Tahoma"/>
                <w:kern w:val="2"/>
                <w:sz w:val="28"/>
                <w:szCs w:val="20"/>
                <w:lang w:val="en-US" w:eastAsia="zh-CN" w:bidi="ar-SA"/>
              </w:rPr>
            </w:pPr>
            <w:r>
              <w:rPr>
                <w:rFonts w:hint="eastAsia"/>
                <w:sz w:val="21"/>
                <w:szCs w:val="21"/>
                <w:lang w:val="en-US" w:eastAsia="zh-CN"/>
              </w:rPr>
              <w:sym w:font="Wingdings" w:char="00A8"/>
            </w:r>
            <w:r>
              <w:rPr>
                <w:rFonts w:hint="eastAsia"/>
                <w:sz w:val="21"/>
                <w:szCs w:val="21"/>
                <w:lang w:val="en-US" w:eastAsia="zh-CN"/>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hint="eastAsia"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2</w:t>
            </w:r>
          </w:p>
        </w:tc>
        <w:tc>
          <w:tcPr>
            <w:tcW w:w="175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37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268"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3</w:t>
            </w:r>
          </w:p>
        </w:tc>
        <w:tc>
          <w:tcPr>
            <w:tcW w:w="175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37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268"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bl>
    <w:p>
      <w:pPr>
        <w:spacing w:after="120"/>
        <w:rPr>
          <w:rFonts w:ascii="EYInterstate Light" w:hAnsi="EYInterstate Light"/>
          <w:color w:val="000000" w:themeColor="text1"/>
          <w:szCs w:val="21"/>
          <w14:textFill>
            <w14:solidFill>
              <w14:schemeClr w14:val="tx1"/>
            </w14:solidFill>
          </w14:textFill>
        </w:rPr>
      </w:pPr>
    </w:p>
    <w:p>
      <w:pPr>
        <w:widowControl/>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投标人(盖公章或电子签章或合同章)：</w:t>
      </w:r>
    </w:p>
    <w:p>
      <w:pPr>
        <w:widowControl/>
        <w:jc w:val="left"/>
        <w:rPr>
          <w:rFonts w:hint="eastAsia" w:ascii="宋体" w:hAnsi="宋体" w:eastAsia="宋体" w:cs="宋体"/>
          <w:color w:val="000000" w:themeColor="text1"/>
          <w:szCs w:val="21"/>
          <w14:textFill>
            <w14:solidFill>
              <w14:schemeClr w14:val="tx1"/>
            </w14:solidFill>
          </w14:textFill>
        </w:rPr>
      </w:pPr>
    </w:p>
    <w:p>
      <w:pPr>
        <w:widowControl/>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_______年________月______日</w:t>
      </w:r>
    </w:p>
    <w:p>
      <w:pPr>
        <w:widowControl/>
        <w:numPr>
          <w:ilvl w:val="0"/>
          <w:numId w:val="0"/>
        </w:numPr>
        <w:ind w:left="0" w:leftChars="0" w:firstLine="420" w:firstLineChars="0"/>
        <w:jc w:val="left"/>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jc w:val="left"/>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（六）</w:t>
      </w:r>
      <w:bookmarkStart w:id="473" w:name="_Toc371002601"/>
      <w:bookmarkStart w:id="474" w:name="_Toc467578218"/>
      <w:bookmarkStart w:id="475" w:name="_Toc371582608"/>
      <w:bookmarkStart w:id="476" w:name="_Toc368993669"/>
      <w:bookmarkStart w:id="477" w:name="_Toc371605529"/>
      <w:bookmarkStart w:id="478" w:name="_Toc371661602"/>
      <w:bookmarkStart w:id="479" w:name="_Toc467578263"/>
      <w:bookmarkStart w:id="480" w:name="_Toc467578543"/>
      <w:r>
        <w:rPr>
          <w:rFonts w:hint="eastAsia" w:ascii="宋体" w:hAnsi="宋体" w:eastAsia="宋体" w:cs="宋体"/>
          <w:b/>
          <w:color w:val="000000" w:themeColor="text1"/>
          <w:sz w:val="24"/>
          <w14:textFill>
            <w14:solidFill>
              <w14:schemeClr w14:val="tx1"/>
            </w14:solidFill>
          </w14:textFill>
        </w:rPr>
        <w:t>近年完成的类似项目情况表</w:t>
      </w:r>
      <w:bookmarkEnd w:id="473"/>
      <w:bookmarkEnd w:id="474"/>
      <w:bookmarkEnd w:id="475"/>
      <w:bookmarkEnd w:id="476"/>
      <w:bookmarkEnd w:id="477"/>
      <w:bookmarkEnd w:id="478"/>
      <w:bookmarkEnd w:id="479"/>
      <w:bookmarkEnd w:id="480"/>
    </w:p>
    <w:p>
      <w:pPr>
        <w:rPr>
          <w:color w:val="000000" w:themeColor="text1"/>
          <w14:textFill>
            <w14:solidFill>
              <w14:schemeClr w14:val="tx1"/>
            </w14:solidFill>
          </w14:textFill>
        </w:rPr>
      </w:pPr>
    </w:p>
    <w:tbl>
      <w:tblPr>
        <w:tblStyle w:val="46"/>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6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项目名称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项目所在地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项目单位名称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项目单位地址</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项目单位电话</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合同价格</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负责人及电话</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交验日期</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trPr>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项目描述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bl>
    <w:p>
      <w:pPr>
        <w:rPr>
          <w:color w:val="000000" w:themeColor="text1"/>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投标人（盖公章或电子签章或合同章）            </w:t>
      </w:r>
    </w:p>
    <w:p>
      <w:pPr>
        <w:rPr>
          <w:rFonts w:hint="eastAsia" w:ascii="宋体" w:hAnsi="宋体" w:eastAsia="宋体" w:cs="宋体"/>
          <w:color w:val="000000" w:themeColor="text1"/>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日期：     年   月   日</w:t>
      </w:r>
    </w:p>
    <w:p>
      <w:pPr>
        <w:rPr>
          <w:rFonts w:hint="eastAsia" w:ascii="宋体" w:hAnsi="宋体" w:eastAsia="宋体" w:cs="宋体"/>
          <w:color w:val="000000" w:themeColor="text1"/>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本表后附中标通知书、采购合同及项目验收单的复印件（如有），具体年份要求见评标要求。每张表格只填写一个项目，并标明序号。</w:t>
      </w:r>
    </w:p>
    <w:p>
      <w:pPr>
        <w:widowControl/>
        <w:rPr>
          <w:rFonts w:ascii="EYInterstate Light" w:hAnsi="EYInterstate Light"/>
          <w:color w:val="000000" w:themeColor="text1"/>
          <w:szCs w:val="21"/>
          <w14:textFill>
            <w14:solidFill>
              <w14:schemeClr w14:val="tx1"/>
            </w14:solidFill>
          </w14:textFill>
        </w:rPr>
      </w:pPr>
    </w:p>
    <w:p>
      <w:pPr>
        <w:widowControl/>
        <w:ind w:firstLine="4080" w:firstLineChars="1700"/>
        <w:rPr>
          <w:rFonts w:ascii="EYInterstate Light" w:hAnsi="EYInterstate Light"/>
          <w:color w:val="000000" w:themeColor="text1"/>
          <w:sz w:val="24"/>
          <w14:textFill>
            <w14:solidFill>
              <w14:schemeClr w14:val="tx1"/>
            </w14:solidFill>
          </w14:textFill>
        </w:rPr>
      </w:pPr>
    </w:p>
    <w:p>
      <w:pPr>
        <w:spacing w:after="120" w:line="360" w:lineRule="auto"/>
        <w:jc w:val="right"/>
        <w:rPr>
          <w:rFonts w:ascii="EYInterstate Light" w:hAnsi="EYInterstate Light"/>
          <w:color w:val="000000" w:themeColor="text1"/>
          <w:sz w:val="24"/>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numPr>
          <w:ilvl w:val="0"/>
          <w:numId w:val="40"/>
        </w:numPr>
        <w:bidi w:val="0"/>
        <w:rPr>
          <w:rFonts w:ascii="EYInterstate Light" w:hAnsi="EYInterstate Light" w:eastAsia="EYInterstate Light"/>
          <w:color w:val="000000" w:themeColor="text1"/>
          <w:sz w:val="24"/>
          <w:szCs w:val="24"/>
          <w14:textFill>
            <w14:solidFill>
              <w14:schemeClr w14:val="tx1"/>
            </w14:solidFill>
          </w14:textFill>
        </w:rPr>
      </w:pPr>
      <w:bookmarkStart w:id="481" w:name="_Toc90407527"/>
      <w:bookmarkStart w:id="482" w:name="_Toc85736553"/>
      <w:bookmarkStart w:id="483" w:name="_Toc53245907"/>
      <w:bookmarkStart w:id="484" w:name="_Toc85736459"/>
      <w:bookmarkStart w:id="485" w:name="_Toc46421290"/>
      <w:bookmarkStart w:id="486" w:name="_Toc53246098"/>
      <w:bookmarkStart w:id="487" w:name="_Toc488655915"/>
      <w:r>
        <w:rPr>
          <w:rFonts w:hint="eastAsia" w:ascii="宋体" w:hAnsi="宋体" w:eastAsia="宋体" w:cs="宋体"/>
          <w:color w:val="000000" w:themeColor="text1"/>
          <w:sz w:val="24"/>
          <w:szCs w:val="24"/>
          <w14:textFill>
            <w14:solidFill>
              <w14:schemeClr w14:val="tx1"/>
            </w14:solidFill>
          </w14:textFill>
        </w:rPr>
        <w:t>具备法律、行政法规规定的其他条件的证明材料</w:t>
      </w:r>
      <w:r>
        <w:rPr>
          <w:rFonts w:ascii="EYInterstate Light" w:hAnsi="EYInterstate Light" w:eastAsia="EYInterstate Light"/>
          <w:color w:val="000000" w:themeColor="text1"/>
          <w:sz w:val="24"/>
          <w:szCs w:val="24"/>
          <w14:textFill>
            <w14:solidFill>
              <w14:schemeClr w14:val="tx1"/>
            </w14:solidFill>
          </w14:textFill>
        </w:rPr>
        <w:br w:type="page"/>
      </w:r>
      <w:bookmarkStart w:id="488" w:name="_Toc53245908"/>
    </w:p>
    <w:p>
      <w:pPr>
        <w:pStyle w:val="3"/>
        <w:numPr>
          <w:ilvl w:val="0"/>
          <w:numId w:val="0"/>
        </w:numPr>
        <w:bidi w:val="0"/>
        <w:ind w:left="0" w:leftChars="0"/>
        <w:rPr>
          <w:rFonts w:hint="eastAsia" w:ascii="宋体" w:hAnsi="宋体" w:eastAsia="宋体" w:cs="宋体"/>
          <w:color w:val="000000" w:themeColor="text1"/>
          <w:sz w:val="32"/>
          <w:szCs w:val="32"/>
          <w14:textFill>
            <w14:solidFill>
              <w14:schemeClr w14:val="tx1"/>
            </w14:solidFill>
          </w14:textFill>
        </w:rPr>
      </w:pPr>
      <w:bookmarkStart w:id="489" w:name="_Toc25936"/>
      <w:bookmarkStart w:id="490" w:name="_Toc10486"/>
      <w:bookmarkStart w:id="491" w:name="_Toc22838"/>
      <w:bookmarkStart w:id="492" w:name="_Toc17350"/>
      <w:bookmarkStart w:id="493" w:name="_Toc29879"/>
      <w:bookmarkStart w:id="494" w:name="_Toc13804"/>
      <w:bookmarkStart w:id="495" w:name="_Toc31038"/>
      <w:bookmarkStart w:id="496" w:name="_Toc15018"/>
      <w:r>
        <w:rPr>
          <w:rFonts w:hint="eastAsia" w:ascii="宋体" w:hAnsi="宋体" w:cs="宋体"/>
          <w:lang w:val="en-US" w:eastAsia="zh-CN"/>
        </w:rPr>
        <w:t>四、技术文件</w:t>
      </w:r>
      <w:bookmarkEnd w:id="481"/>
      <w:bookmarkEnd w:id="482"/>
      <w:bookmarkEnd w:id="483"/>
      <w:bookmarkEnd w:id="484"/>
      <w:bookmarkEnd w:id="485"/>
      <w:bookmarkEnd w:id="486"/>
      <w:bookmarkEnd w:id="488"/>
      <w:bookmarkEnd w:id="489"/>
      <w:bookmarkEnd w:id="490"/>
      <w:bookmarkEnd w:id="491"/>
      <w:bookmarkEnd w:id="492"/>
      <w:bookmarkEnd w:id="493"/>
      <w:bookmarkEnd w:id="494"/>
      <w:bookmarkEnd w:id="495"/>
      <w:bookmarkEnd w:id="496"/>
    </w:p>
    <w:p>
      <w:pPr>
        <w:bidi w:val="0"/>
        <w:jc w:val="center"/>
        <w:rPr>
          <w:rFonts w:hint="eastAsia" w:ascii="宋体" w:hAnsi="宋体" w:eastAsia="宋体" w:cs="宋体"/>
        </w:rPr>
      </w:pPr>
      <w:bookmarkStart w:id="497" w:name="_Toc85736461"/>
      <w:bookmarkStart w:id="498" w:name="_Toc53246100"/>
      <w:bookmarkStart w:id="499" w:name="_Toc90407529"/>
      <w:bookmarkStart w:id="500" w:name="_Toc70627002"/>
      <w:bookmarkStart w:id="501" w:name="_Toc46421292"/>
      <w:bookmarkStart w:id="502" w:name="_Toc85736259"/>
      <w:bookmarkStart w:id="503" w:name="_Toc85736555"/>
      <w:bookmarkStart w:id="504" w:name="_Toc53245909"/>
      <w:r>
        <w:rPr>
          <w:rFonts w:hint="eastAsia" w:ascii="宋体" w:hAnsi="宋体" w:eastAsia="宋体" w:cs="宋体"/>
        </w:rPr>
        <w:t>目录</w:t>
      </w:r>
      <w:bookmarkEnd w:id="497"/>
      <w:bookmarkEnd w:id="498"/>
      <w:bookmarkEnd w:id="499"/>
      <w:bookmarkEnd w:id="500"/>
      <w:bookmarkEnd w:id="501"/>
      <w:bookmarkEnd w:id="502"/>
      <w:bookmarkEnd w:id="503"/>
      <w:bookmarkEnd w:id="504"/>
    </w:p>
    <w:p>
      <w:pPr>
        <w:bidi w:val="0"/>
        <w:spacing w:line="360" w:lineRule="auto"/>
        <w:rPr>
          <w:rFonts w:hint="eastAsia" w:ascii="宋体" w:hAnsi="宋体" w:eastAsia="宋体" w:cs="宋体"/>
          <w:color w:val="000000" w:themeColor="text1"/>
          <w:sz w:val="24"/>
          <w:szCs w:val="24"/>
          <w14:textFill>
            <w14:solidFill>
              <w14:schemeClr w14:val="tx1"/>
            </w14:solidFill>
          </w14:textFill>
        </w:rPr>
      </w:pPr>
      <w:bookmarkStart w:id="505" w:name="_Toc53245910"/>
      <w:bookmarkStart w:id="506" w:name="_Toc85736462"/>
      <w:bookmarkStart w:id="507" w:name="_Toc70627003"/>
      <w:bookmarkStart w:id="508" w:name="_Toc46421293"/>
      <w:bookmarkStart w:id="509" w:name="_Toc53246101"/>
      <w:bookmarkStart w:id="510" w:name="_Toc85736260"/>
      <w:bookmarkStart w:id="511" w:name="_Toc85736556"/>
      <w:bookmarkStart w:id="512" w:name="_Toc90407530"/>
      <w:r>
        <w:rPr>
          <w:rFonts w:hint="eastAsia" w:ascii="宋体" w:hAnsi="宋体" w:eastAsia="宋体" w:cs="宋体"/>
          <w:b w:val="0"/>
          <w:color w:val="000000" w:themeColor="text1"/>
          <w:sz w:val="21"/>
          <w:szCs w:val="21"/>
          <w14:textFill>
            <w14:solidFill>
              <w14:schemeClr w14:val="tx1"/>
            </w14:solidFill>
          </w14:textFill>
        </w:rPr>
        <w:t>参照第二章投标人须知</w:t>
      </w:r>
      <w:r>
        <w:rPr>
          <w:rFonts w:hint="eastAsia" w:ascii="宋体" w:hAnsi="宋体" w:eastAsia="宋体" w:cs="宋体"/>
          <w:b w:val="0"/>
          <w:color w:val="000000" w:themeColor="text1"/>
          <w:sz w:val="21"/>
          <w:szCs w:val="21"/>
          <w:lang w:eastAsia="zh-CN"/>
          <w14:textFill>
            <w14:solidFill>
              <w14:schemeClr w14:val="tx1"/>
            </w14:solidFill>
          </w14:textFill>
        </w:rPr>
        <w:t>【</w:t>
      </w:r>
      <w:r>
        <w:rPr>
          <w:rFonts w:hint="eastAsia" w:ascii="宋体" w:hAnsi="宋体" w:eastAsia="宋体" w:cs="宋体"/>
          <w:b w:val="0"/>
          <w:color w:val="000000" w:themeColor="text1"/>
          <w:sz w:val="21"/>
          <w:szCs w:val="21"/>
          <w14:textFill>
            <w14:solidFill>
              <w14:schemeClr w14:val="tx1"/>
            </w14:solidFill>
          </w14:textFill>
        </w:rPr>
        <w:t>技术文件</w:t>
      </w:r>
      <w:r>
        <w:rPr>
          <w:rFonts w:hint="eastAsia" w:ascii="宋体" w:hAnsi="宋体" w:eastAsia="宋体" w:cs="宋体"/>
          <w:b w:val="0"/>
          <w:color w:val="000000" w:themeColor="text1"/>
          <w:sz w:val="21"/>
          <w:szCs w:val="21"/>
          <w:lang w:eastAsia="zh-CN"/>
          <w14:textFill>
            <w14:solidFill>
              <w14:schemeClr w14:val="tx1"/>
            </w14:solidFill>
          </w14:textFill>
        </w:rPr>
        <w:t>】</w:t>
      </w:r>
      <w:r>
        <w:rPr>
          <w:rFonts w:hint="eastAsia" w:ascii="宋体" w:hAnsi="宋体" w:eastAsia="宋体" w:cs="宋体"/>
          <w:b w:val="0"/>
          <w:bCs w:val="0"/>
          <w:snapToGrid w:val="0"/>
          <w:color w:val="000000" w:themeColor="text1"/>
          <w:kern w:val="0"/>
          <w:sz w:val="21"/>
          <w:szCs w:val="21"/>
          <w14:textFill>
            <w14:solidFill>
              <w14:schemeClr w14:val="tx1"/>
            </w14:solidFill>
          </w14:textFill>
        </w:rPr>
        <w:t>（部分参考格式附后）</w:t>
      </w:r>
      <w:r>
        <w:rPr>
          <w:rFonts w:ascii="EYInterstate Light" w:hAnsi="EYInterstate Light" w:eastAsia="EYInterstate Light"/>
          <w:b w:val="0"/>
          <w:color w:val="000000" w:themeColor="text1"/>
          <w:sz w:val="21"/>
          <w:szCs w:val="21"/>
          <w14:textFill>
            <w14:solidFill>
              <w14:schemeClr w14:val="tx1"/>
            </w14:solidFill>
          </w14:textFill>
        </w:rPr>
        <w:br w:type="page"/>
      </w:r>
      <w:bookmarkStart w:id="513" w:name="_Toc85736557"/>
      <w:bookmarkStart w:id="514" w:name="_Toc85736261"/>
      <w:bookmarkStart w:id="515" w:name="_Toc90407531"/>
      <w:bookmarkStart w:id="516" w:name="_Toc46421294"/>
      <w:bookmarkStart w:id="517" w:name="_Toc85736463"/>
      <w:bookmarkStart w:id="518" w:name="_Toc53246102"/>
      <w:bookmarkStart w:id="519" w:name="_Toc53245911"/>
      <w:r>
        <w:rPr>
          <w:rFonts w:hint="eastAsia" w:ascii="宋体" w:hAnsi="宋体" w:eastAsia="宋体" w:cs="宋体"/>
          <w:color w:val="000000" w:themeColor="text1"/>
          <w:sz w:val="24"/>
          <w:szCs w:val="24"/>
          <w14:textFill>
            <w14:solidFill>
              <w14:schemeClr w14:val="tx1"/>
            </w14:solidFill>
          </w14:textFill>
        </w:rPr>
        <w:t>技术文件部分参考格式</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p>
      <w:pPr>
        <w:numPr>
          <w:ilvl w:val="0"/>
          <w:numId w:val="79"/>
        </w:numPr>
        <w:adjustRightInd w:val="0"/>
        <w:snapToGrid w:val="0"/>
        <w:spacing w:line="360" w:lineRule="auto"/>
        <w:ind w:left="425" w:leftChars="0" w:hanging="425" w:firstLineChars="0"/>
        <w:jc w:val="left"/>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技术偏离表；</w:t>
      </w:r>
    </w:p>
    <w:p>
      <w:pPr>
        <w:numPr>
          <w:ilvl w:val="0"/>
          <w:numId w:val="79"/>
        </w:numPr>
        <w:adjustRightInd w:val="0"/>
        <w:snapToGrid w:val="0"/>
        <w:spacing w:line="360" w:lineRule="auto"/>
        <w:ind w:left="425" w:leftChars="0" w:hanging="425"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和评分有关的相关内容；</w:t>
      </w:r>
      <w:r>
        <w:rPr>
          <w:rFonts w:hint="eastAsia" w:ascii="宋体" w:hAnsi="宋体" w:eastAsia="宋体" w:cs="宋体"/>
          <w:color w:val="000000" w:themeColor="text1"/>
          <w:szCs w:val="21"/>
          <w14:textFill>
            <w14:solidFill>
              <w14:schemeClr w14:val="tx1"/>
            </w14:solidFill>
          </w14:textFill>
        </w:rPr>
        <w:tab/>
      </w:r>
    </w:p>
    <w:p>
      <w:pPr>
        <w:numPr>
          <w:ilvl w:val="0"/>
          <w:numId w:val="79"/>
        </w:numPr>
        <w:adjustRightInd w:val="0"/>
        <w:snapToGrid w:val="0"/>
        <w:spacing w:line="360" w:lineRule="auto"/>
        <w:ind w:left="425" w:leftChars="0" w:hanging="425"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投标人认为需要提供的其它与评分有关的文件及资料。</w:t>
      </w:r>
    </w:p>
    <w:p>
      <w:pPr>
        <w:jc w:val="center"/>
        <w:rPr>
          <w:rFonts w:hint="eastAsia" w:ascii="宋体" w:hAnsi="宋体" w:eastAsia="宋体" w:cs="宋体"/>
          <w:b/>
          <w:color w:val="000000" w:themeColor="text1"/>
          <w:sz w:val="24"/>
          <w14:textFill>
            <w14:solidFill>
              <w14:schemeClr w14:val="tx1"/>
            </w14:solidFill>
          </w14:textFill>
        </w:rPr>
      </w:pPr>
      <w:r>
        <w:rPr>
          <w:color w:val="000000" w:themeColor="text1"/>
          <w14:textFill>
            <w14:solidFill>
              <w14:schemeClr w14:val="tx1"/>
            </w14:solidFill>
          </w14:textFill>
        </w:rPr>
        <w:br w:type="page"/>
      </w:r>
      <w:r>
        <w:rPr>
          <w:rFonts w:hint="eastAsia" w:ascii="宋体" w:hAnsi="宋体" w:eastAsia="宋体" w:cs="宋体"/>
          <w:b/>
          <w:color w:val="000000" w:themeColor="text1"/>
          <w:sz w:val="24"/>
          <w14:textFill>
            <w14:solidFill>
              <w14:schemeClr w14:val="tx1"/>
            </w14:solidFill>
          </w14:textFill>
        </w:rPr>
        <w:t>技术偏离表</w:t>
      </w:r>
    </w:p>
    <w:p>
      <w:pPr>
        <w:jc w:val="center"/>
        <w:rPr>
          <w:rFonts w:hint="eastAsia" w:ascii="宋体" w:hAnsi="宋体" w:eastAsia="宋体" w:cs="宋体"/>
          <w:b/>
          <w:color w:val="000000" w:themeColor="text1"/>
          <w:sz w:val="24"/>
          <w14:textFill>
            <w14:solidFill>
              <w14:schemeClr w14:val="tx1"/>
            </w14:solidFill>
          </w14:textFill>
        </w:rPr>
      </w:pPr>
    </w:p>
    <w:p>
      <w:pPr>
        <w:spacing w:after="12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招标编号：</w:t>
      </w:r>
    </w:p>
    <w:tbl>
      <w:tblPr>
        <w:tblStyle w:val="46"/>
        <w:tblW w:w="8455" w:type="dxa"/>
        <w:tblInd w:w="4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86"/>
        <w:gridCol w:w="1750"/>
        <w:gridCol w:w="2370"/>
        <w:gridCol w:w="2268"/>
        <w:gridCol w:w="1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686"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75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招标文件条目号</w:t>
            </w:r>
          </w:p>
        </w:tc>
        <w:tc>
          <w:tcPr>
            <w:tcW w:w="237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招标文件的合同条款</w:t>
            </w:r>
          </w:p>
        </w:tc>
        <w:tc>
          <w:tcPr>
            <w:tcW w:w="226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投标文件的合同条款</w:t>
            </w:r>
          </w:p>
        </w:tc>
        <w:tc>
          <w:tcPr>
            <w:tcW w:w="1381"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1</w:t>
            </w:r>
          </w:p>
        </w:tc>
        <w:tc>
          <w:tcPr>
            <w:tcW w:w="175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37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268"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1381" w:type="dxa"/>
            <w:vAlign w:val="center"/>
          </w:tcPr>
          <w:p>
            <w:pPr>
              <w:jc w:val="center"/>
              <w:rPr>
                <w:rFonts w:hint="eastAsia" w:ascii="EYInterstate Light" w:hAnsi="EYInterstate Light" w:eastAsia="EYInterstate Light"/>
                <w:color w:val="000000" w:themeColor="text1"/>
                <w:szCs w:val="21"/>
                <w:lang w:val="en-US" w:eastAsia="zh-CN"/>
                <w14:textFill>
                  <w14:solidFill>
                    <w14:schemeClr w14:val="tx1"/>
                  </w14:solidFill>
                </w14:textFill>
              </w:rPr>
            </w:pPr>
            <w:r>
              <w:rPr>
                <w:rFonts w:hint="eastAsia" w:ascii="EYInterstate Light" w:hAnsi="EYInterstate Light" w:eastAsia="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eastAsia="EYInterstate Light"/>
                <w:color w:val="000000" w:themeColor="text1"/>
                <w:szCs w:val="21"/>
                <w:lang w:val="en-US" w:eastAsia="zh-CN"/>
                <w14:textFill>
                  <w14:solidFill>
                    <w14:schemeClr w14:val="tx1"/>
                  </w14:solidFill>
                </w14:textFill>
              </w:rPr>
              <w:t>正偏离</w:t>
            </w:r>
          </w:p>
          <w:p>
            <w:pPr>
              <w:jc w:val="center"/>
              <w:rPr>
                <w:rFonts w:hint="eastAsia"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eastAsia="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eastAsia="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2</w:t>
            </w:r>
          </w:p>
        </w:tc>
        <w:tc>
          <w:tcPr>
            <w:tcW w:w="175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37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268"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3</w:t>
            </w:r>
          </w:p>
        </w:tc>
        <w:tc>
          <w:tcPr>
            <w:tcW w:w="175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370"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2268" w:type="dxa"/>
            <w:vAlign w:val="center"/>
          </w:tcPr>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eastAsia="EYInterstate Light" w:cs="Tahoma"/>
                <w:color w:val="000000" w:themeColor="text1"/>
                <w:kern w:val="2"/>
                <w:sz w:val="21"/>
                <w:szCs w:val="21"/>
                <w:lang w:val="en-US" w:eastAsia="zh-CN" w:bidi="ar-SA"/>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bl>
    <w:p>
      <w:pPr>
        <w:spacing w:after="120"/>
        <w:rPr>
          <w:rFonts w:ascii="EYInterstate Light" w:hAnsi="EYInterstate Light"/>
          <w:color w:val="000000" w:themeColor="text1"/>
          <w:szCs w:val="21"/>
          <w14:textFill>
            <w14:solidFill>
              <w14:schemeClr w14:val="tx1"/>
            </w14:solidFill>
          </w14:textFill>
        </w:rPr>
      </w:pPr>
    </w:p>
    <w:p>
      <w:pPr>
        <w:widowControl/>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投标人(盖公章或电子签章或合同章)：  </w:t>
      </w:r>
    </w:p>
    <w:p>
      <w:pPr>
        <w:pStyle w:val="31"/>
        <w:rPr>
          <w:rFonts w:hint="eastAsia" w:ascii="宋体" w:hAnsi="宋体" w:eastAsia="宋体" w:cs="宋体"/>
          <w:color w:val="000000" w:themeColor="text1"/>
          <w14:textFill>
            <w14:solidFill>
              <w14:schemeClr w14:val="tx1"/>
            </w14:solidFill>
          </w14:textFill>
        </w:rPr>
      </w:pPr>
    </w:p>
    <w:p>
      <w:pPr>
        <w:widowControl/>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_______年________月______日</w:t>
      </w:r>
    </w:p>
    <w:p>
      <w:pPr>
        <w:rPr>
          <w:color w:val="000000" w:themeColor="text1"/>
          <w:szCs w:val="21"/>
          <w14:textFill>
            <w14:solidFill>
              <w14:schemeClr w14:val="tx1"/>
            </w14:solidFill>
          </w14:textFill>
        </w:rPr>
      </w:pPr>
    </w:p>
    <w:p>
      <w:pPr>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bidi w:val="0"/>
        <w:jc w:val="center"/>
        <w:rPr>
          <w:rFonts w:hint="eastAsia" w:ascii="宋体" w:hAnsi="宋体" w:eastAsia="宋体" w:cs="宋体"/>
          <w:b/>
          <w:bCs/>
        </w:rPr>
      </w:pPr>
      <w:bookmarkStart w:id="520" w:name="_Toc371661600"/>
      <w:bookmarkStart w:id="521" w:name="_Toc46421295"/>
      <w:bookmarkStart w:id="522" w:name="_Toc90407532"/>
      <w:bookmarkStart w:id="523" w:name="_Toc70627004"/>
      <w:bookmarkStart w:id="524" w:name="_Toc85736262"/>
      <w:bookmarkStart w:id="525" w:name="_Toc53245912"/>
      <w:bookmarkStart w:id="526" w:name="_Toc368993667"/>
      <w:bookmarkStart w:id="527" w:name="_Toc371002599"/>
      <w:bookmarkStart w:id="528" w:name="_Toc53246103"/>
      <w:bookmarkStart w:id="529" w:name="_Toc371605527"/>
      <w:bookmarkStart w:id="530" w:name="_Toc534142836"/>
      <w:bookmarkStart w:id="531" w:name="_Toc85736464"/>
      <w:bookmarkStart w:id="532" w:name="_Toc371582606"/>
      <w:bookmarkStart w:id="533" w:name="_Toc85736558"/>
      <w:r>
        <w:rPr>
          <w:rFonts w:hint="eastAsia" w:ascii="宋体" w:hAnsi="宋体" w:eastAsia="宋体" w:cs="宋体"/>
          <w:b/>
          <w:bCs/>
        </w:rPr>
        <w:t>项目管理机构组成表</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p>
      <w:pPr>
        <w:snapToGrid w:val="0"/>
        <w:rPr>
          <w:rFonts w:ascii="EYInterstate Light" w:hAnsi="EYInterstate Light"/>
          <w:color w:val="000000" w:themeColor="text1"/>
          <w:sz w:val="24"/>
          <w14:textFill>
            <w14:solidFill>
              <w14:schemeClr w14:val="tx1"/>
            </w14:solidFill>
          </w14:textFill>
        </w:rPr>
      </w:pPr>
    </w:p>
    <w:tbl>
      <w:tblPr>
        <w:tblStyle w:val="46"/>
        <w:tblW w:w="85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851"/>
        <w:gridCol w:w="1314"/>
        <w:gridCol w:w="813"/>
        <w:gridCol w:w="850"/>
        <w:gridCol w:w="750"/>
        <w:gridCol w:w="1175"/>
        <w:gridCol w:w="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09"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134"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姓名</w:t>
            </w:r>
          </w:p>
        </w:tc>
        <w:tc>
          <w:tcPr>
            <w:tcW w:w="85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性別</w:t>
            </w:r>
          </w:p>
        </w:tc>
        <w:tc>
          <w:tcPr>
            <w:tcW w:w="1314"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职务/职称</w:t>
            </w:r>
          </w:p>
        </w:tc>
        <w:tc>
          <w:tcPr>
            <w:tcW w:w="813"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年龄</w:t>
            </w:r>
          </w:p>
        </w:tc>
        <w:tc>
          <w:tcPr>
            <w:tcW w:w="85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学历</w:t>
            </w:r>
          </w:p>
        </w:tc>
        <w:tc>
          <w:tcPr>
            <w:tcW w:w="75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专业</w:t>
            </w:r>
          </w:p>
        </w:tc>
        <w:tc>
          <w:tcPr>
            <w:tcW w:w="1175"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养老保险</w:t>
            </w:r>
          </w:p>
        </w:tc>
        <w:tc>
          <w:tcPr>
            <w:tcW w:w="912"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ind w:firstLine="420" w:firstLineChars="200"/>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bl>
    <w:p>
      <w:pPr>
        <w:snapToGrid w:val="0"/>
        <w:rPr>
          <w:rFonts w:ascii="EYInterstate Light" w:hAnsi="EYInterstate Light"/>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投标人（盖公章或电子签章或合同章）         </w:t>
      </w:r>
    </w:p>
    <w:p>
      <w:pPr>
        <w:pStyle w:val="31"/>
        <w:spacing w:line="360" w:lineRule="auto"/>
        <w:rPr>
          <w:rFonts w:hint="eastAsia" w:ascii="宋体" w:hAnsi="宋体" w:eastAsia="宋体" w:cs="宋体"/>
          <w:color w:val="000000" w:themeColor="text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日期：     年   月   日               </w:t>
      </w: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注：本表仅限于投标人拟实施本招标项目的组织管理机构成员。本表格可以按照同样的格式扩展，后附相关人员的相关职称、执业资格、岗位证书。</w:t>
      </w:r>
    </w:p>
    <w:p>
      <w:pPr>
        <w:snapToGrid w:val="0"/>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bidi w:val="0"/>
        <w:jc w:val="center"/>
        <w:rPr>
          <w:rFonts w:hint="eastAsia" w:ascii="宋体" w:hAnsi="宋体" w:eastAsia="宋体" w:cs="宋体"/>
        </w:rPr>
      </w:pPr>
      <w:bookmarkStart w:id="534" w:name="_Toc70627005"/>
      <w:bookmarkStart w:id="535" w:name="_Toc371002600"/>
      <w:bookmarkStart w:id="536" w:name="_Toc371661601"/>
      <w:bookmarkStart w:id="537" w:name="_Toc90407533"/>
      <w:bookmarkStart w:id="538" w:name="_Toc53246104"/>
      <w:bookmarkStart w:id="539" w:name="_Toc368993668"/>
      <w:bookmarkStart w:id="540" w:name="_Toc46421296"/>
      <w:bookmarkStart w:id="541" w:name="_Toc85736465"/>
      <w:bookmarkStart w:id="542" w:name="_Toc53245913"/>
      <w:bookmarkStart w:id="543" w:name="_Toc534142837"/>
      <w:bookmarkStart w:id="544" w:name="_Toc85736263"/>
      <w:bookmarkStart w:id="545" w:name="_Toc371605528"/>
      <w:bookmarkStart w:id="546" w:name="_Toc85736559"/>
      <w:bookmarkStart w:id="547" w:name="_Toc371582607"/>
      <w:r>
        <w:rPr>
          <w:rFonts w:hint="eastAsia" w:ascii="宋体" w:hAnsi="宋体" w:eastAsia="宋体" w:cs="宋体"/>
        </w:rPr>
        <w:t>主要人员简历表</w:t>
      </w:r>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p>
    <w:p>
      <w:pPr>
        <w:rPr>
          <w:rFonts w:ascii="EYInterstate Light" w:hAnsi="EYInterstate Light"/>
          <w:color w:val="000000" w:themeColor="text1"/>
          <w14:textFill>
            <w14:solidFill>
              <w14:schemeClr w14:val="tx1"/>
            </w14:solidFill>
          </w14:textFill>
        </w:rPr>
      </w:pPr>
    </w:p>
    <w:p>
      <w:pPr>
        <w:snapToGrid w:val="0"/>
        <w:rPr>
          <w:rFonts w:ascii="EYInterstate Light" w:hAnsi="EYInterstate Light"/>
          <w:color w:val="000000" w:themeColor="text1"/>
          <w:sz w:val="24"/>
          <w14:textFill>
            <w14:solidFill>
              <w14:schemeClr w14:val="tx1"/>
            </w14:solidFill>
          </w14:textFill>
        </w:rPr>
      </w:pPr>
    </w:p>
    <w:tbl>
      <w:tblPr>
        <w:tblStyle w:val="46"/>
        <w:tblW w:w="85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1625"/>
        <w:gridCol w:w="700"/>
        <w:gridCol w:w="1162"/>
        <w:gridCol w:w="563"/>
        <w:gridCol w:w="900"/>
        <w:gridCol w:w="800"/>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姓名</w:t>
            </w:r>
          </w:p>
        </w:tc>
        <w:tc>
          <w:tcPr>
            <w:tcW w:w="1625" w:type="dxa"/>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70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年龄</w:t>
            </w:r>
          </w:p>
        </w:tc>
        <w:tc>
          <w:tcPr>
            <w:tcW w:w="1725" w:type="dxa"/>
            <w:gridSpan w:val="2"/>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1700"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学          历</w:t>
            </w:r>
          </w:p>
        </w:tc>
        <w:tc>
          <w:tcPr>
            <w:tcW w:w="1637" w:type="dxa"/>
          </w:tcPr>
          <w:p>
            <w:pPr>
              <w:spacing w:line="360" w:lineRule="auto"/>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职称</w:t>
            </w:r>
          </w:p>
        </w:tc>
        <w:tc>
          <w:tcPr>
            <w:tcW w:w="1625" w:type="dxa"/>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70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职务</w:t>
            </w:r>
          </w:p>
        </w:tc>
        <w:tc>
          <w:tcPr>
            <w:tcW w:w="1725" w:type="dxa"/>
            <w:gridSpan w:val="2"/>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1700"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拟在本合同任职</w:t>
            </w:r>
          </w:p>
        </w:tc>
        <w:tc>
          <w:tcPr>
            <w:tcW w:w="1637" w:type="dxa"/>
          </w:tcPr>
          <w:p>
            <w:pPr>
              <w:spacing w:line="360" w:lineRule="auto"/>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毕业学校</w:t>
            </w:r>
          </w:p>
        </w:tc>
        <w:tc>
          <w:tcPr>
            <w:tcW w:w="7387" w:type="dxa"/>
            <w:gridSpan w:val="7"/>
          </w:tcPr>
          <w:p>
            <w:pPr>
              <w:spacing w:line="360" w:lineRule="auto"/>
              <w:ind w:firstLine="525" w:firstLineChars="25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508" w:type="dxa"/>
            <w:gridSpan w:val="8"/>
          </w:tcPr>
          <w:p>
            <w:pPr>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时间</w:t>
            </w:r>
          </w:p>
        </w:tc>
        <w:tc>
          <w:tcPr>
            <w:tcW w:w="3487" w:type="dxa"/>
            <w:gridSpan w:val="3"/>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参加过的类似项目</w:t>
            </w:r>
          </w:p>
        </w:tc>
        <w:tc>
          <w:tcPr>
            <w:tcW w:w="1463"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担任职务</w:t>
            </w:r>
          </w:p>
        </w:tc>
        <w:tc>
          <w:tcPr>
            <w:tcW w:w="2437"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业主证明人及联系电话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bl>
    <w:p>
      <w:pPr>
        <w:snapToGrid w:val="0"/>
        <w:rPr>
          <w:rFonts w:ascii="EYInterstate Light" w:hAnsi="EYInterstate Light"/>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投标人（盖公章或电子签章或合同章）           </w:t>
      </w: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日期：     年   月   日</w:t>
      </w: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注：“主要人员简历表”中的项目负责人应附项目负责人任命书、身份证、职称证、学历证、养老保险复印件，负责过的项目业绩须附合同协议书复印件；其他主要人员应附养老保险复印件。一人一表。</w:t>
      </w:r>
    </w:p>
    <w:p>
      <w:pPr>
        <w:snapToGrid w:val="0"/>
        <w:rPr>
          <w:rFonts w:ascii="EYInterstate Light" w:hAnsi="EYInterstate Light"/>
          <w:color w:val="000000" w:themeColor="text1"/>
          <w:sz w:val="24"/>
          <w14:textFill>
            <w14:solidFill>
              <w14:schemeClr w14:val="tx1"/>
            </w14:solidFill>
          </w14:textFill>
        </w:rPr>
      </w:pPr>
    </w:p>
    <w:p>
      <w:pPr>
        <w:widowControl/>
        <w:jc w:val="left"/>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bookmarkEnd w:id="487"/>
    <w:p>
      <w:pPr>
        <w:pStyle w:val="3"/>
        <w:bidi w:val="0"/>
        <w:rPr>
          <w:rFonts w:hint="eastAsia" w:ascii="宋体" w:hAnsi="宋体" w:cs="宋体"/>
          <w:lang w:val="en-US" w:eastAsia="zh-CN"/>
        </w:rPr>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pPr>
      <w:bookmarkStart w:id="548" w:name="_Toc2946"/>
      <w:bookmarkStart w:id="549" w:name="_Toc1523"/>
      <w:bookmarkStart w:id="550" w:name="_Toc368993681"/>
      <w:bookmarkStart w:id="551" w:name="_Toc21185"/>
      <w:bookmarkStart w:id="552" w:name="_Toc1072"/>
      <w:bookmarkStart w:id="553" w:name="_Toc20282"/>
      <w:bookmarkStart w:id="554" w:name="_Toc16879"/>
      <w:bookmarkStart w:id="555" w:name="_Toc53245915"/>
      <w:bookmarkStart w:id="556" w:name="_Toc46421298"/>
      <w:bookmarkStart w:id="557" w:name="_Toc534142845"/>
      <w:bookmarkStart w:id="558" w:name="_Toc371002613"/>
    </w:p>
    <w:p>
      <w:pPr>
        <w:snapToGrid w:val="0"/>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技术、商务自评表</w:t>
      </w:r>
    </w:p>
    <w:p>
      <w:pPr>
        <w:pStyle w:val="18"/>
        <w:autoSpaceDE/>
        <w:autoSpaceDN/>
        <w:spacing w:after="0" w:line="360" w:lineRule="auto"/>
        <w:ind w:left="0" w:firstLine="0" w:firstLineChars="0"/>
        <w:jc w:val="left"/>
        <w:rPr>
          <w:rFonts w:hint="eastAsia" w:ascii="宋体" w:hAnsi="宋体" w:eastAsia="宋体" w:cs="宋体"/>
          <w:b/>
          <w:sz w:val="28"/>
          <w:szCs w:val="28"/>
          <w:lang w:eastAsia="zh-CN"/>
        </w:rPr>
      </w:pPr>
      <w:r>
        <w:rPr>
          <w:rFonts w:hint="eastAsia" w:ascii="宋体" w:hAnsi="宋体" w:eastAsia="宋体" w:cs="宋体"/>
          <w:b/>
          <w:sz w:val="28"/>
          <w:szCs w:val="28"/>
        </w:rPr>
        <w:t>投标人名称</w:t>
      </w:r>
      <w:r>
        <w:rPr>
          <w:rFonts w:hint="eastAsia" w:ascii="宋体" w:hAnsi="宋体" w:eastAsia="宋体" w:cs="宋体"/>
          <w:b/>
          <w:sz w:val="28"/>
          <w:szCs w:val="28"/>
          <w:lang w:eastAsia="zh-CN"/>
        </w:rPr>
        <w:t>：</w:t>
      </w:r>
    </w:p>
    <w:tbl>
      <w:tblPr>
        <w:tblStyle w:val="46"/>
        <w:tblW w:w="8982"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1359"/>
        <w:gridCol w:w="3742"/>
        <w:gridCol w:w="1549"/>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2382" w:type="dxa"/>
            <w:gridSpan w:val="2"/>
            <w:vAlign w:val="center"/>
          </w:tcPr>
          <w:p>
            <w:pPr>
              <w:spacing w:line="360" w:lineRule="auto"/>
              <w:jc w:val="center"/>
              <w:rPr>
                <w:rFonts w:hint="eastAsia" w:ascii="宋体" w:hAnsi="宋体"/>
                <w:b/>
                <w:bCs/>
                <w:sz w:val="24"/>
              </w:rPr>
            </w:pPr>
            <w:r>
              <w:rPr>
                <w:rFonts w:hint="eastAsia" w:ascii="宋体" w:hAnsi="宋体"/>
                <w:b/>
                <w:bCs/>
                <w:sz w:val="24"/>
              </w:rPr>
              <w:t>评分项目</w:t>
            </w:r>
          </w:p>
        </w:tc>
        <w:tc>
          <w:tcPr>
            <w:tcW w:w="3742" w:type="dxa"/>
            <w:vMerge w:val="restart"/>
            <w:vAlign w:val="center"/>
          </w:tcPr>
          <w:p>
            <w:pPr>
              <w:snapToGrid w:val="0"/>
              <w:spacing w:line="360" w:lineRule="auto"/>
              <w:jc w:val="center"/>
              <w:rPr>
                <w:rFonts w:ascii="宋体" w:hAnsi="宋体"/>
                <w:b/>
                <w:bCs/>
                <w:sz w:val="24"/>
              </w:rPr>
            </w:pPr>
            <w:r>
              <w:rPr>
                <w:rFonts w:hint="eastAsia" w:ascii="宋体" w:hAnsi="宋体"/>
                <w:b/>
                <w:bCs/>
                <w:sz w:val="24"/>
              </w:rPr>
              <w:t>投标文件对应资料</w:t>
            </w:r>
          </w:p>
        </w:tc>
        <w:tc>
          <w:tcPr>
            <w:tcW w:w="1549" w:type="dxa"/>
            <w:vMerge w:val="restart"/>
            <w:vAlign w:val="center"/>
          </w:tcPr>
          <w:p>
            <w:pPr>
              <w:snapToGrid w:val="0"/>
              <w:spacing w:line="360" w:lineRule="auto"/>
              <w:jc w:val="center"/>
              <w:rPr>
                <w:rFonts w:hint="eastAsia" w:ascii="宋体" w:hAnsi="宋体" w:eastAsia="EYInterstate Light"/>
                <w:b/>
                <w:bCs/>
                <w:sz w:val="24"/>
                <w:lang w:eastAsia="zh-CN"/>
              </w:rPr>
            </w:pPr>
            <w:r>
              <w:rPr>
                <w:rFonts w:hint="eastAsia" w:ascii="宋体" w:hAnsi="宋体"/>
                <w:b/>
                <w:bCs/>
                <w:sz w:val="24"/>
              </w:rPr>
              <w:t>自评分</w:t>
            </w:r>
          </w:p>
        </w:tc>
        <w:tc>
          <w:tcPr>
            <w:tcW w:w="1309" w:type="dxa"/>
            <w:vMerge w:val="restart"/>
            <w:vAlign w:val="center"/>
          </w:tcPr>
          <w:p>
            <w:pPr>
              <w:snapToGrid w:val="0"/>
              <w:spacing w:line="360" w:lineRule="auto"/>
              <w:jc w:val="center"/>
              <w:rPr>
                <w:rFonts w:ascii="宋体" w:hAnsi="宋体"/>
                <w:b/>
                <w:bCs/>
                <w:sz w:val="24"/>
              </w:rPr>
            </w:pPr>
            <w:r>
              <w:rPr>
                <w:rFonts w:hint="eastAsia" w:ascii="宋体" w:hAnsi="宋体"/>
                <w:b/>
                <w:bCs/>
                <w:sz w:val="24"/>
              </w:rPr>
              <w:t>投标文件</w:t>
            </w:r>
            <w:r>
              <w:rPr>
                <w:rFonts w:hint="eastAsia" w:ascii="宋体" w:hAnsi="宋体"/>
                <w:b/>
                <w:bCs/>
                <w:sz w:val="24"/>
                <w:lang w:val="en-US" w:eastAsia="zh-CN"/>
              </w:rPr>
              <w:t>对应</w:t>
            </w:r>
            <w:r>
              <w:rPr>
                <w:rFonts w:hint="eastAsia" w:ascii="宋体" w:hAnsi="宋体"/>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1023" w:type="dxa"/>
            <w:vAlign w:val="center"/>
          </w:tcPr>
          <w:p>
            <w:pPr>
              <w:spacing w:line="360" w:lineRule="auto"/>
              <w:jc w:val="center"/>
              <w:rPr>
                <w:rFonts w:hint="eastAsia" w:ascii="宋体" w:hAnsi="宋体" w:eastAsia="EYInterstate Light"/>
                <w:b/>
                <w:bCs/>
                <w:sz w:val="24"/>
                <w:lang w:val="en-US" w:eastAsia="zh-CN"/>
              </w:rPr>
            </w:pPr>
            <w:r>
              <w:rPr>
                <w:rFonts w:hint="eastAsia" w:ascii="宋体" w:hAnsi="宋体"/>
                <w:b/>
                <w:bCs/>
                <w:sz w:val="24"/>
                <w:lang w:val="en-US" w:eastAsia="zh-CN"/>
              </w:rPr>
              <w:t>项目</w:t>
            </w:r>
          </w:p>
        </w:tc>
        <w:tc>
          <w:tcPr>
            <w:tcW w:w="1359" w:type="dxa"/>
            <w:vAlign w:val="center"/>
          </w:tcPr>
          <w:p>
            <w:pPr>
              <w:spacing w:line="360" w:lineRule="auto"/>
              <w:jc w:val="center"/>
              <w:rPr>
                <w:rFonts w:hint="eastAsia" w:ascii="宋体" w:hAnsi="宋体" w:eastAsia="EYInterstate Light"/>
                <w:b/>
                <w:bCs/>
                <w:sz w:val="24"/>
                <w:lang w:val="en-US" w:eastAsia="zh-CN"/>
              </w:rPr>
            </w:pPr>
            <w:r>
              <w:rPr>
                <w:rFonts w:hint="eastAsia" w:ascii="宋体" w:hAnsi="宋体"/>
                <w:b/>
                <w:bCs/>
                <w:sz w:val="24"/>
                <w:lang w:val="en-US" w:eastAsia="zh-CN"/>
              </w:rPr>
              <w:t>序号</w:t>
            </w:r>
          </w:p>
        </w:tc>
        <w:tc>
          <w:tcPr>
            <w:tcW w:w="3742" w:type="dxa"/>
            <w:vMerge w:val="continue"/>
            <w:vAlign w:val="center"/>
          </w:tcPr>
          <w:p>
            <w:pPr>
              <w:snapToGrid w:val="0"/>
              <w:spacing w:line="360" w:lineRule="auto"/>
              <w:jc w:val="center"/>
              <w:rPr>
                <w:rFonts w:hint="eastAsia" w:ascii="宋体" w:hAnsi="宋体"/>
                <w:sz w:val="24"/>
              </w:rPr>
            </w:pPr>
          </w:p>
        </w:tc>
        <w:tc>
          <w:tcPr>
            <w:tcW w:w="1549" w:type="dxa"/>
            <w:vMerge w:val="continue"/>
            <w:vAlign w:val="center"/>
          </w:tcPr>
          <w:p>
            <w:pPr>
              <w:snapToGrid w:val="0"/>
              <w:spacing w:line="360" w:lineRule="auto"/>
              <w:jc w:val="center"/>
              <w:rPr>
                <w:rFonts w:hint="eastAsia" w:ascii="宋体" w:hAnsi="宋体"/>
                <w:sz w:val="24"/>
              </w:rPr>
            </w:pPr>
          </w:p>
        </w:tc>
        <w:tc>
          <w:tcPr>
            <w:tcW w:w="1309" w:type="dxa"/>
            <w:vMerge w:val="continue"/>
            <w:vAlign w:val="center"/>
          </w:tcPr>
          <w:p>
            <w:pPr>
              <w:snapToGrid w:val="0"/>
              <w:spacing w:line="360" w:lineRule="auto"/>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023" w:type="dxa"/>
            <w:vMerge w:val="restart"/>
            <w:vAlign w:val="center"/>
          </w:tcPr>
          <w:p>
            <w:pPr>
              <w:spacing w:line="360" w:lineRule="auto"/>
              <w:jc w:val="center"/>
              <w:rPr>
                <w:rFonts w:ascii="宋体" w:hAnsi="宋体"/>
                <w:sz w:val="24"/>
              </w:rPr>
            </w:pPr>
            <w:r>
              <w:rPr>
                <w:rFonts w:hint="eastAsia" w:ascii="宋体" w:hAnsi="宋体"/>
                <w:sz w:val="24"/>
              </w:rPr>
              <w:t>技</w:t>
            </w:r>
          </w:p>
          <w:p>
            <w:pPr>
              <w:spacing w:line="360" w:lineRule="auto"/>
              <w:jc w:val="center"/>
              <w:rPr>
                <w:rFonts w:ascii="宋体" w:hAnsi="宋体"/>
                <w:sz w:val="24"/>
              </w:rPr>
            </w:pPr>
            <w:r>
              <w:rPr>
                <w:rFonts w:hint="eastAsia" w:ascii="宋体" w:hAnsi="宋体"/>
                <w:sz w:val="24"/>
              </w:rPr>
              <w:t>术</w:t>
            </w:r>
          </w:p>
          <w:p>
            <w:pPr>
              <w:spacing w:line="360" w:lineRule="auto"/>
              <w:jc w:val="center"/>
              <w:rPr>
                <w:rFonts w:hint="default" w:ascii="宋体" w:hAnsi="宋体" w:eastAsia="EYInterstate Light"/>
                <w:sz w:val="24"/>
                <w:lang w:val="en-US" w:eastAsia="zh-CN"/>
              </w:rPr>
            </w:pPr>
            <w:r>
              <w:rPr>
                <w:rFonts w:hint="eastAsia" w:ascii="宋体" w:hAnsi="宋体"/>
                <w:sz w:val="24"/>
              </w:rPr>
              <w:t>分</w:t>
            </w:r>
            <w:r>
              <w:rPr>
                <w:rFonts w:hint="eastAsia" w:ascii="宋体" w:hAnsi="宋体"/>
                <w:sz w:val="24"/>
                <w:lang w:val="en-US" w:eastAsia="zh-CN"/>
              </w:rPr>
              <w:t>60</w:t>
            </w:r>
          </w:p>
          <w:p>
            <w:pPr>
              <w:spacing w:line="360" w:lineRule="auto"/>
              <w:jc w:val="center"/>
              <w:rPr>
                <w:rFonts w:ascii="宋体" w:hAnsi="宋体"/>
                <w:sz w:val="24"/>
              </w:rPr>
            </w:pPr>
            <w:r>
              <w:rPr>
                <w:rFonts w:hint="eastAsia" w:ascii="宋体" w:hAnsi="宋体"/>
                <w:sz w:val="24"/>
              </w:rPr>
              <w:t>分</w:t>
            </w: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1</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023" w:type="dxa"/>
            <w:vMerge w:val="continue"/>
            <w:vAlign w:val="center"/>
          </w:tcPr>
          <w:p>
            <w:pPr>
              <w:spacing w:line="360" w:lineRule="auto"/>
              <w:jc w:val="center"/>
              <w:rPr>
                <w:rFonts w:hint="eastAsia"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2</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3</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4</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5</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6</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7</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1023" w:type="dxa"/>
            <w:vMerge w:val="restart"/>
            <w:vAlign w:val="center"/>
          </w:tcPr>
          <w:p>
            <w:pPr>
              <w:spacing w:line="360" w:lineRule="auto"/>
              <w:jc w:val="center"/>
              <w:rPr>
                <w:rFonts w:hint="eastAsia" w:ascii="宋体" w:hAnsi="宋体"/>
                <w:sz w:val="24"/>
              </w:rPr>
            </w:pPr>
            <w:r>
              <w:rPr>
                <w:rFonts w:hint="eastAsia" w:ascii="宋体" w:hAnsi="宋体"/>
                <w:sz w:val="24"/>
              </w:rPr>
              <w:t>商务</w:t>
            </w:r>
          </w:p>
          <w:p>
            <w:pPr>
              <w:spacing w:line="360" w:lineRule="auto"/>
              <w:jc w:val="center"/>
              <w:rPr>
                <w:rFonts w:ascii="宋体" w:hAnsi="宋体"/>
                <w:sz w:val="24"/>
              </w:rPr>
            </w:pPr>
            <w:r>
              <w:rPr>
                <w:rFonts w:hint="eastAsia" w:ascii="宋体" w:hAnsi="宋体"/>
                <w:sz w:val="24"/>
                <w:lang w:val="en-US" w:eastAsia="zh-CN"/>
              </w:rPr>
              <w:t>40</w:t>
            </w:r>
            <w:r>
              <w:rPr>
                <w:rFonts w:hint="eastAsia" w:ascii="宋体" w:hAnsi="宋体"/>
                <w:sz w:val="24"/>
              </w:rPr>
              <w:t>分</w:t>
            </w: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1</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1023" w:type="dxa"/>
            <w:vMerge w:val="continue"/>
            <w:vAlign w:val="center"/>
          </w:tcPr>
          <w:p>
            <w:pPr>
              <w:spacing w:line="360" w:lineRule="auto"/>
              <w:jc w:val="center"/>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2</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3</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4</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5</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6</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7</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8</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382" w:type="dxa"/>
            <w:gridSpan w:val="2"/>
            <w:vAlign w:val="center"/>
          </w:tcPr>
          <w:p>
            <w:pPr>
              <w:spacing w:line="360" w:lineRule="auto"/>
              <w:jc w:val="center"/>
              <w:rPr>
                <w:rFonts w:hint="eastAsia" w:ascii="宋体" w:hAnsi="宋体" w:eastAsia="EYInterstate Light"/>
                <w:sz w:val="24"/>
                <w:lang w:eastAsia="zh-CN"/>
              </w:rPr>
            </w:pPr>
            <w:r>
              <w:rPr>
                <w:rFonts w:hint="eastAsia" w:ascii="宋体" w:hAnsi="宋体"/>
                <w:sz w:val="24"/>
              </w:rPr>
              <w:t>总分</w:t>
            </w:r>
            <w:r>
              <w:rPr>
                <w:rFonts w:hint="eastAsia" w:ascii="宋体" w:hAnsi="宋体"/>
                <w:sz w:val="24"/>
                <w:lang w:eastAsia="zh-CN"/>
              </w:rPr>
              <w:t>（</w:t>
            </w:r>
            <w:r>
              <w:rPr>
                <w:rFonts w:hint="eastAsia" w:ascii="宋体" w:hAnsi="宋体"/>
                <w:sz w:val="24"/>
                <w:lang w:val="en-US" w:eastAsia="zh-CN"/>
              </w:rPr>
              <w:t>满分100分</w:t>
            </w:r>
            <w:r>
              <w:rPr>
                <w:rFonts w:hint="eastAsia" w:ascii="宋体" w:hAnsi="宋体"/>
                <w:sz w:val="24"/>
                <w:lang w:eastAsia="zh-CN"/>
              </w:rPr>
              <w:t>）</w:t>
            </w:r>
          </w:p>
        </w:tc>
        <w:tc>
          <w:tcPr>
            <w:tcW w:w="6600" w:type="dxa"/>
            <w:gridSpan w:val="3"/>
          </w:tcPr>
          <w:p>
            <w:pPr>
              <w:spacing w:line="360" w:lineRule="auto"/>
              <w:rPr>
                <w:rFonts w:ascii="宋体" w:hAnsi="宋体"/>
                <w:sz w:val="24"/>
              </w:rPr>
            </w:pPr>
          </w:p>
        </w:tc>
      </w:tr>
    </w:tbl>
    <w:p>
      <w:pPr>
        <w:pStyle w:val="3"/>
        <w:bidi w:val="0"/>
        <w:rPr>
          <w:rFonts w:hint="eastAsia" w:ascii="宋体" w:hAnsi="宋体" w:cs="宋体"/>
          <w:lang w:val="en-US" w:eastAsia="zh-CN"/>
        </w:rPr>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3"/>
        <w:bidi w:val="0"/>
        <w:rPr>
          <w:rFonts w:hint="eastAsia" w:ascii="宋体" w:hAnsi="宋体" w:cs="宋体"/>
        </w:rPr>
      </w:pPr>
      <w:bookmarkStart w:id="559" w:name="_Toc5857"/>
      <w:bookmarkStart w:id="560" w:name="_Toc16846"/>
      <w:r>
        <w:rPr>
          <w:rFonts w:hint="eastAsia" w:ascii="宋体" w:hAnsi="宋体" w:cs="宋体"/>
          <w:lang w:val="en-US" w:eastAsia="zh-CN"/>
        </w:rPr>
        <w:t>五、</w:t>
      </w:r>
      <w:r>
        <w:rPr>
          <w:rFonts w:hint="eastAsia" w:ascii="宋体" w:hAnsi="宋体" w:cs="宋体"/>
        </w:rPr>
        <w:t>其他材料</w:t>
      </w:r>
      <w:bookmarkEnd w:id="548"/>
      <w:bookmarkEnd w:id="549"/>
      <w:bookmarkEnd w:id="550"/>
      <w:bookmarkEnd w:id="551"/>
      <w:bookmarkEnd w:id="552"/>
      <w:bookmarkEnd w:id="553"/>
      <w:bookmarkEnd w:id="554"/>
      <w:bookmarkEnd w:id="555"/>
      <w:bookmarkEnd w:id="556"/>
      <w:bookmarkEnd w:id="557"/>
      <w:bookmarkEnd w:id="558"/>
      <w:bookmarkEnd w:id="559"/>
      <w:bookmarkEnd w:id="560"/>
    </w:p>
    <w:p>
      <w:pPr>
        <w:adjustRightInd w:val="0"/>
        <w:snapToGrid w:val="0"/>
        <w:spacing w:beforeLines="50" w:afterLines="50" w:line="360" w:lineRule="auto"/>
        <w:outlineLvl w:val="0"/>
        <w:rPr>
          <w:color w:val="000000" w:themeColor="text1"/>
          <w14:textFill>
            <w14:solidFill>
              <w14:schemeClr w14:val="tx1"/>
            </w14:solidFill>
          </w14:textFill>
        </w:rPr>
      </w:pPr>
    </w:p>
    <w:p>
      <w:pPr>
        <w:spacing w:line="420" w:lineRule="exact"/>
        <w:jc w:val="center"/>
        <w:rPr>
          <w:rFonts w:ascii="EYInterstate Light" w:hAnsi="EYInterstate Light"/>
          <w:color w:val="000000" w:themeColor="text1"/>
          <w:sz w:val="28"/>
          <w:szCs w:val="28"/>
          <w14:textFill>
            <w14:solidFill>
              <w14:schemeClr w14:val="tx1"/>
            </w14:solidFill>
          </w14:textFill>
        </w:rPr>
      </w:pPr>
    </w:p>
    <w:p>
      <w:pPr>
        <w:spacing w:line="420" w:lineRule="exact"/>
        <w:jc w:val="center"/>
        <w:rPr>
          <w:rFonts w:ascii="EYInterstate Light" w:hAnsi="EYInterstate Light"/>
          <w:color w:val="000000" w:themeColor="text1"/>
          <w:sz w:val="28"/>
          <w:szCs w:val="28"/>
          <w14:textFill>
            <w14:solidFill>
              <w14:schemeClr w14:val="tx1"/>
            </w14:solidFill>
          </w14:textFill>
        </w:rPr>
      </w:pPr>
    </w:p>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EYInterstate Light">
    <w:altName w:val="宋体"/>
    <w:panose1 w:val="00000000000000000000"/>
    <w:charset w:val="86"/>
    <w:family w:val="auto"/>
    <w:pitch w:val="default"/>
    <w:sig w:usb0="00000000" w:usb1="00000000" w:usb2="00000000" w:usb3="00000000" w:csb0="000000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中圆体">
    <w:altName w:val="宋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Century Gothic">
    <w:altName w:val="Century"/>
    <w:panose1 w:val="020B0502020202020204"/>
    <w:charset w:val="00"/>
    <w:family w:val="swiss"/>
    <w:pitch w:val="default"/>
    <w:sig w:usb0="00000000"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Century">
    <w:panose1 w:val="020406040505050203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rPr>
        <w:b/>
      </w:rPr>
    </w:pPr>
    <w:r>
      <w:rPr>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865" cy="137795"/>
              <wp:effectExtent l="0" t="0" r="0" b="0"/>
              <wp:wrapNone/>
              <wp:docPr id="4" name="Text Box 1059"/>
              <wp:cNvGraphicFramePr/>
              <a:graphic xmlns:a="http://schemas.openxmlformats.org/drawingml/2006/main">
                <a:graphicData uri="http://schemas.microsoft.com/office/word/2010/wordprocessingShape">
                  <wps:wsp>
                    <wps:cNvSpPr txBox="1">
                      <a:spLocks noChangeArrowheads="1"/>
                    </wps:cNvSpPr>
                    <wps:spPr bwMode="auto">
                      <a:xfrm>
                        <a:off x="0" y="0"/>
                        <a:ext cx="62865" cy="137795"/>
                      </a:xfrm>
                      <a:prstGeom prst="rect">
                        <a:avLst/>
                      </a:prstGeom>
                      <a:noFill/>
                      <a:ln>
                        <a:noFill/>
                      </a:ln>
                      <a:effectLst/>
                    </wps:spPr>
                    <wps:txbx>
                      <w:txbxContent>
                        <w:p>
                          <w:pPr>
                            <w:pStyle w:val="29"/>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1059" o:spid="_x0000_s1026" o:spt="202" type="#_x0000_t202" style="position:absolute;left:0pt;margin-top:0pt;height:10.85pt;width:4.95pt;mso-position-horizontal:center;mso-position-horizontal-relative:margin;mso-wrap-style:none;z-index:251659264;mso-width-relative:page;mso-height-relative:page;" filled="f" stroked="f" coordsize="21600,21600" o:gfxdata="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2Y449EAAAACAQAADwAAAAAAAAABACAAAAAiAAAAZHJzL2Rvd25yZXYu&#10;eG1sUEsBAhQAFAAAAAgAh07iQLxRp3kCAgAAEQQAAA4AAAAAAAAAAQAgAAAAIAEAAGRycy9lMm9E&#10;b2MueG1sUEsFBgAAAAAGAAYAWQEAAJQ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lang w:val="en-US"/>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2865" cy="137795"/>
              <wp:effectExtent l="0" t="0" r="0" b="0"/>
              <wp:wrapNone/>
              <wp:docPr id="3" name="Text Box 1060"/>
              <wp:cNvGraphicFramePr/>
              <a:graphic xmlns:a="http://schemas.openxmlformats.org/drawingml/2006/main">
                <a:graphicData uri="http://schemas.microsoft.com/office/word/2010/wordprocessingShape">
                  <wps:wsp>
                    <wps:cNvSpPr txBox="1">
                      <a:spLocks noChangeArrowheads="1"/>
                    </wps:cNvSpPr>
                    <wps:spPr bwMode="auto">
                      <a:xfrm>
                        <a:off x="0" y="0"/>
                        <a:ext cx="62865" cy="137795"/>
                      </a:xfrm>
                      <a:prstGeom prst="rect">
                        <a:avLst/>
                      </a:prstGeom>
                      <a:noFill/>
                      <a:ln>
                        <a:noFill/>
                      </a:ln>
                      <a:effectLst/>
                    </wps:spPr>
                    <wps:txbx>
                      <w:txbxContent>
                        <w:p>
                          <w:pPr>
                            <w:pStyle w:val="29"/>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Text Box 1060" o:spid="_x0000_s1026" o:spt="202" type="#_x0000_t202" style="position:absolute;left:0pt;margin-top:0pt;height:10.85pt;width:4.95pt;mso-position-horizontal:center;mso-position-horizontal-relative:margin;mso-wrap-style:none;z-index:251660288;mso-width-relative:page;mso-height-relative:page;" filled="f" stroked="f" coordsize="21600,21600" o:gfxdata="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NmOOPRAAAAAgEAAA8AAAAAAAAAAQAgAAAAIgAAAGRycy9kb3ducmV2Lnht&#10;bFBLAQIUABQAAAAIAIdO4kDUIDdUAAIAABEEAAAOAAAAAAAAAAEAIAAAACABAABkcnMvZTJvRG9j&#10;LnhtbFBLBQYAAAAABgAGAFkBAACSBQ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Align="top"/>
      <w:pBdr>
        <w:between w:val="none" w:color="auto" w:sz="0" w:space="0"/>
      </w:pBdr>
    </w:pPr>
    <w:r>
      <w:fldChar w:fldCharType="begin"/>
    </w:r>
    <w:r>
      <w:rPr>
        <w:rStyle w:val="50"/>
      </w:rPr>
      <w:instrText xml:space="preserve"> PAGE  </w:instrText>
    </w:r>
    <w:r>
      <w:fldChar w:fldCharType="separate"/>
    </w:r>
    <w:r>
      <w:rPr>
        <w:rStyle w:val="50"/>
      </w:rPr>
      <w:t>4</w:t>
    </w:r>
    <w:r>
      <w:fldChar w:fldCharType="end"/>
    </w:r>
  </w:p>
  <w:p>
    <w:pPr>
      <w:pStyle w:val="2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lang w:val="en-US"/>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25095" cy="137795"/>
              <wp:effectExtent l="0" t="0" r="0" b="0"/>
              <wp:wrapNone/>
              <wp:docPr id="2" name="Text Box 1065"/>
              <wp:cNvGraphicFramePr/>
              <a:graphic xmlns:a="http://schemas.openxmlformats.org/drawingml/2006/main">
                <a:graphicData uri="http://schemas.microsoft.com/office/word/2010/wordprocessingShape">
                  <wps:wsp>
                    <wps:cNvSpPr txBox="1">
                      <a:spLocks noChangeArrowheads="1"/>
                    </wps:cNvSpPr>
                    <wps:spPr bwMode="auto">
                      <a:xfrm>
                        <a:off x="0" y="0"/>
                        <a:ext cx="125095" cy="137795"/>
                      </a:xfrm>
                      <a:prstGeom prst="rect">
                        <a:avLst/>
                      </a:prstGeom>
                      <a:noFill/>
                      <a:ln>
                        <a:noFill/>
                      </a:ln>
                      <a:effectLst/>
                    </wps:spPr>
                    <wps:txbx>
                      <w:txbxContent>
                        <w:p>
                          <w:pPr>
                            <w:pStyle w:val="29"/>
                          </w:pPr>
                          <w:r>
                            <w:fldChar w:fldCharType="begin"/>
                          </w:r>
                          <w:r>
                            <w:instrText xml:space="preserve"> PAGE  \* MERGEFORMAT </w:instrText>
                          </w:r>
                          <w:r>
                            <w:fldChar w:fldCharType="separate"/>
                          </w:r>
                          <w:r>
                            <w:t>39</w:t>
                          </w:r>
                          <w:r>
                            <w:fldChar w:fldCharType="end"/>
                          </w:r>
                        </w:p>
                      </w:txbxContent>
                    </wps:txbx>
                    <wps:bodyPr rot="0" vert="horz" wrap="none" lIns="0" tIns="0" rIns="0" bIns="0" anchor="t" anchorCtr="0" upright="1">
                      <a:spAutoFit/>
                    </wps:bodyPr>
                  </wps:wsp>
                </a:graphicData>
              </a:graphic>
            </wp:anchor>
          </w:drawing>
        </mc:Choice>
        <mc:Fallback>
          <w:pict>
            <v:shape id="Text Box 1065" o:spid="_x0000_s1026" o:spt="202" type="#_x0000_t202" style="position:absolute;left:0pt;margin-top:0pt;height:10.85pt;width:9.85pt;mso-position-horizontal:center;mso-position-horizontal-relative:margin;mso-wrap-style:none;z-index:251661312;mso-width-relative:page;mso-height-relative:page;" filled="f" stroked="f" coordsize="21600,21600" o:gfxdata="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371kdAAAAADAQAADwAAAAAAAAABACAAAAAiAAAAZHJzL2Rvd25yZXYueG1s&#10;UEsBAhQAFAAAAAgAh07iQDYSKioAAgAAEgQAAA4AAAAAAAAAAQAgAAAAHwEAAGRycy9lMm9Eb2Mu&#10;eG1sUEsFBgAAAAAGAAYAWQEAAJE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separate"/>
    </w:r>
    <w:r>
      <w:rPr>
        <w:rStyle w:val="50"/>
      </w:rPr>
      <w:t>1</w:t>
    </w:r>
    <w:r>
      <w:fldChar w:fldCharType="end"/>
    </w:r>
  </w:p>
  <w:p>
    <w:pPr>
      <w:pStyle w:val="2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lang w:val="en-US"/>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25095" cy="137795"/>
              <wp:effectExtent l="0" t="0" r="0" b="0"/>
              <wp:wrapNone/>
              <wp:docPr id="1" name="Text Box 1066"/>
              <wp:cNvGraphicFramePr/>
              <a:graphic xmlns:a="http://schemas.openxmlformats.org/drawingml/2006/main">
                <a:graphicData uri="http://schemas.microsoft.com/office/word/2010/wordprocessingShape">
                  <wps:wsp>
                    <wps:cNvSpPr txBox="1">
                      <a:spLocks noChangeArrowheads="1"/>
                    </wps:cNvSpPr>
                    <wps:spPr bwMode="auto">
                      <a:xfrm>
                        <a:off x="0" y="0"/>
                        <a:ext cx="125095" cy="137795"/>
                      </a:xfrm>
                      <a:prstGeom prst="rect">
                        <a:avLst/>
                      </a:prstGeom>
                      <a:noFill/>
                      <a:ln>
                        <a:noFill/>
                      </a:ln>
                      <a:effectLst/>
                    </wps:spPr>
                    <wps:txbx>
                      <w:txbxContent>
                        <w:p>
                          <w:pPr>
                            <w:pStyle w:val="29"/>
                          </w:pPr>
                          <w:r>
                            <w:fldChar w:fldCharType="begin"/>
                          </w:r>
                          <w:r>
                            <w:instrText xml:space="preserve"> PAGE  \* MERGEFORMAT </w:instrText>
                          </w:r>
                          <w:r>
                            <w:fldChar w:fldCharType="separate"/>
                          </w:r>
                          <w:r>
                            <w:t>47</w:t>
                          </w:r>
                          <w:r>
                            <w:fldChar w:fldCharType="end"/>
                          </w:r>
                        </w:p>
                      </w:txbxContent>
                    </wps:txbx>
                    <wps:bodyPr rot="0" vert="horz" wrap="none" lIns="0" tIns="0" rIns="0" bIns="0" anchor="t" anchorCtr="0" upright="1">
                      <a:spAutoFit/>
                    </wps:bodyPr>
                  </wps:wsp>
                </a:graphicData>
              </a:graphic>
            </wp:anchor>
          </w:drawing>
        </mc:Choice>
        <mc:Fallback>
          <w:pict>
            <v:shape id="Text Box 1066" o:spid="_x0000_s1026" o:spt="202" type="#_x0000_t202" style="position:absolute;left:0pt;margin-top:0pt;height:10.85pt;width:9.85pt;mso-position-horizontal:center;mso-position-horizontal-relative:margin;mso-wrap-style:none;z-index:251662336;mso-width-relative:page;mso-height-relative:page;" filled="f" stroked="f" coordsize="21600,21600" o:gfxdata="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fvWR0AAAAAMBAAAPAAAAAAAAAAEAIAAAACIAAABkcnMvZG93bnJldi54bWxQ&#10;SwECFAAUAAAACACHTuJAuZ/lNv8BAAASBAAADgAAAAAAAAABACAAAAAfAQAAZHJzL2Uyb0RvYy54&#10;bWxQSwUGAAAAAAYABgBZAQAAk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end"/>
    </w:r>
  </w:p>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11D0C"/>
    <w:multiLevelType w:val="singleLevel"/>
    <w:tmpl w:val="80D11D0C"/>
    <w:lvl w:ilvl="0" w:tentative="0">
      <w:start w:val="1"/>
      <w:numFmt w:val="decimal"/>
      <w:suff w:val="nothing"/>
      <w:lvlText w:val="%1．"/>
      <w:lvlJc w:val="left"/>
      <w:pPr>
        <w:ind w:left="0" w:firstLine="400"/>
      </w:pPr>
      <w:rPr>
        <w:rFonts w:hint="default"/>
      </w:rPr>
    </w:lvl>
  </w:abstractNum>
  <w:abstractNum w:abstractNumId="1">
    <w:nsid w:val="81194CF1"/>
    <w:multiLevelType w:val="singleLevel"/>
    <w:tmpl w:val="81194CF1"/>
    <w:lvl w:ilvl="0" w:tentative="0">
      <w:start w:val="1"/>
      <w:numFmt w:val="decimal"/>
      <w:suff w:val="nothing"/>
      <w:lvlText w:val="%1．"/>
      <w:lvlJc w:val="left"/>
      <w:pPr>
        <w:ind w:left="0" w:firstLine="400"/>
      </w:pPr>
      <w:rPr>
        <w:rFonts w:hint="default"/>
        <w:color w:val="auto"/>
      </w:rPr>
    </w:lvl>
  </w:abstractNum>
  <w:abstractNum w:abstractNumId="2">
    <w:nsid w:val="855AD5DB"/>
    <w:multiLevelType w:val="singleLevel"/>
    <w:tmpl w:val="855AD5DB"/>
    <w:lvl w:ilvl="0" w:tentative="0">
      <w:start w:val="1"/>
      <w:numFmt w:val="decimal"/>
      <w:suff w:val="nothing"/>
      <w:lvlText w:val="%1．"/>
      <w:lvlJc w:val="left"/>
      <w:pPr>
        <w:ind w:left="0" w:firstLine="400"/>
      </w:pPr>
      <w:rPr>
        <w:rFonts w:hint="default"/>
      </w:rPr>
    </w:lvl>
  </w:abstractNum>
  <w:abstractNum w:abstractNumId="3">
    <w:nsid w:val="88C08DA5"/>
    <w:multiLevelType w:val="singleLevel"/>
    <w:tmpl w:val="88C08DA5"/>
    <w:lvl w:ilvl="0" w:tentative="0">
      <w:start w:val="1"/>
      <w:numFmt w:val="decimal"/>
      <w:lvlText w:val="%1."/>
      <w:lvlJc w:val="left"/>
      <w:pPr>
        <w:tabs>
          <w:tab w:val="left" w:pos="420"/>
        </w:tabs>
        <w:ind w:left="845" w:hanging="425"/>
      </w:pPr>
      <w:rPr>
        <w:rFonts w:hint="default"/>
      </w:rPr>
    </w:lvl>
  </w:abstractNum>
  <w:abstractNum w:abstractNumId="4">
    <w:nsid w:val="90A75383"/>
    <w:multiLevelType w:val="singleLevel"/>
    <w:tmpl w:val="90A75383"/>
    <w:lvl w:ilvl="0" w:tentative="0">
      <w:start w:val="1"/>
      <w:numFmt w:val="chineseCounting"/>
      <w:suff w:val="nothing"/>
      <w:lvlText w:val="（%1）"/>
      <w:lvlJc w:val="left"/>
      <w:pPr>
        <w:ind w:left="0" w:firstLine="420"/>
      </w:pPr>
      <w:rPr>
        <w:rFonts w:hint="eastAsia"/>
      </w:rPr>
    </w:lvl>
  </w:abstractNum>
  <w:abstractNum w:abstractNumId="5">
    <w:nsid w:val="9361F97C"/>
    <w:multiLevelType w:val="singleLevel"/>
    <w:tmpl w:val="9361F97C"/>
    <w:lvl w:ilvl="0" w:tentative="0">
      <w:start w:val="1"/>
      <w:numFmt w:val="decimal"/>
      <w:suff w:val="nothing"/>
      <w:lvlText w:val="%1．"/>
      <w:lvlJc w:val="left"/>
      <w:pPr>
        <w:ind w:left="0" w:firstLine="400"/>
      </w:pPr>
      <w:rPr>
        <w:rFonts w:hint="default"/>
      </w:rPr>
    </w:lvl>
  </w:abstractNum>
  <w:abstractNum w:abstractNumId="6">
    <w:nsid w:val="94C883D4"/>
    <w:multiLevelType w:val="singleLevel"/>
    <w:tmpl w:val="94C883D4"/>
    <w:lvl w:ilvl="0" w:tentative="0">
      <w:start w:val="1"/>
      <w:numFmt w:val="decimal"/>
      <w:lvlText w:val="%1."/>
      <w:lvlJc w:val="left"/>
      <w:pPr>
        <w:ind w:left="425" w:hanging="425"/>
      </w:pPr>
      <w:rPr>
        <w:rFonts w:hint="default"/>
      </w:rPr>
    </w:lvl>
  </w:abstractNum>
  <w:abstractNum w:abstractNumId="7">
    <w:nsid w:val="94E72C12"/>
    <w:multiLevelType w:val="singleLevel"/>
    <w:tmpl w:val="94E72C12"/>
    <w:lvl w:ilvl="0" w:tentative="0">
      <w:start w:val="1"/>
      <w:numFmt w:val="decimal"/>
      <w:suff w:val="nothing"/>
      <w:lvlText w:val="%1．"/>
      <w:lvlJc w:val="left"/>
      <w:pPr>
        <w:ind w:left="0" w:firstLine="400"/>
      </w:pPr>
      <w:rPr>
        <w:rFonts w:hint="default"/>
      </w:rPr>
    </w:lvl>
  </w:abstractNum>
  <w:abstractNum w:abstractNumId="8">
    <w:nsid w:val="96E94216"/>
    <w:multiLevelType w:val="singleLevel"/>
    <w:tmpl w:val="96E94216"/>
    <w:lvl w:ilvl="0" w:tentative="0">
      <w:start w:val="1"/>
      <w:numFmt w:val="chineseCounting"/>
      <w:suff w:val="nothing"/>
      <w:lvlText w:val="（%1）"/>
      <w:lvlJc w:val="left"/>
      <w:pPr>
        <w:ind w:left="0" w:firstLine="420"/>
      </w:pPr>
      <w:rPr>
        <w:rFonts w:hint="eastAsia"/>
      </w:rPr>
    </w:lvl>
  </w:abstractNum>
  <w:abstractNum w:abstractNumId="9">
    <w:nsid w:val="9855BCFF"/>
    <w:multiLevelType w:val="singleLevel"/>
    <w:tmpl w:val="9855BCFF"/>
    <w:lvl w:ilvl="0" w:tentative="0">
      <w:start w:val="1"/>
      <w:numFmt w:val="decimal"/>
      <w:suff w:val="nothing"/>
      <w:lvlText w:val="%1．"/>
      <w:lvlJc w:val="left"/>
      <w:pPr>
        <w:ind w:left="0" w:firstLine="400"/>
      </w:pPr>
      <w:rPr>
        <w:rFonts w:hint="default"/>
      </w:rPr>
    </w:lvl>
  </w:abstractNum>
  <w:abstractNum w:abstractNumId="10">
    <w:nsid w:val="9A523BF1"/>
    <w:multiLevelType w:val="singleLevel"/>
    <w:tmpl w:val="9A523BF1"/>
    <w:lvl w:ilvl="0" w:tentative="0">
      <w:start w:val="1"/>
      <w:numFmt w:val="chineseCounting"/>
      <w:suff w:val="nothing"/>
      <w:lvlText w:val="（%1）"/>
      <w:lvlJc w:val="left"/>
      <w:pPr>
        <w:ind w:left="0" w:firstLine="420"/>
      </w:pPr>
      <w:rPr>
        <w:rFonts w:hint="eastAsia"/>
      </w:rPr>
    </w:lvl>
  </w:abstractNum>
  <w:abstractNum w:abstractNumId="11">
    <w:nsid w:val="9A766676"/>
    <w:multiLevelType w:val="singleLevel"/>
    <w:tmpl w:val="9A766676"/>
    <w:lvl w:ilvl="0" w:tentative="0">
      <w:start w:val="1"/>
      <w:numFmt w:val="decimal"/>
      <w:lvlText w:val="(%1)"/>
      <w:lvlJc w:val="left"/>
      <w:pPr>
        <w:ind w:left="425" w:hanging="425"/>
      </w:pPr>
      <w:rPr>
        <w:rFonts w:hint="default"/>
      </w:rPr>
    </w:lvl>
  </w:abstractNum>
  <w:abstractNum w:abstractNumId="12">
    <w:nsid w:val="9F966ED3"/>
    <w:multiLevelType w:val="singleLevel"/>
    <w:tmpl w:val="9F966ED3"/>
    <w:lvl w:ilvl="0" w:tentative="0">
      <w:start w:val="1"/>
      <w:numFmt w:val="decimal"/>
      <w:suff w:val="nothing"/>
      <w:lvlText w:val="%1．"/>
      <w:lvlJc w:val="left"/>
      <w:pPr>
        <w:ind w:left="0" w:firstLine="400"/>
      </w:pPr>
      <w:rPr>
        <w:rFonts w:hint="default"/>
      </w:rPr>
    </w:lvl>
  </w:abstractNum>
  <w:abstractNum w:abstractNumId="13">
    <w:nsid w:val="A4ED5F26"/>
    <w:multiLevelType w:val="singleLevel"/>
    <w:tmpl w:val="A4ED5F26"/>
    <w:lvl w:ilvl="0" w:tentative="0">
      <w:start w:val="1"/>
      <w:numFmt w:val="decimalEnclosedCircleChinese"/>
      <w:suff w:val="nothing"/>
      <w:lvlText w:val="%1　"/>
      <w:lvlJc w:val="left"/>
      <w:pPr>
        <w:ind w:left="0" w:firstLine="400"/>
      </w:pPr>
      <w:rPr>
        <w:rFonts w:hint="eastAsia"/>
      </w:rPr>
    </w:lvl>
  </w:abstractNum>
  <w:abstractNum w:abstractNumId="14">
    <w:nsid w:val="A4FFE9AC"/>
    <w:multiLevelType w:val="singleLevel"/>
    <w:tmpl w:val="A4FFE9AC"/>
    <w:lvl w:ilvl="0" w:tentative="0">
      <w:start w:val="1"/>
      <w:numFmt w:val="decimal"/>
      <w:suff w:val="nothing"/>
      <w:lvlText w:val="%1．"/>
      <w:lvlJc w:val="left"/>
      <w:pPr>
        <w:ind w:left="0" w:firstLine="400"/>
      </w:pPr>
      <w:rPr>
        <w:rFonts w:hint="default"/>
      </w:rPr>
    </w:lvl>
  </w:abstractNum>
  <w:abstractNum w:abstractNumId="15">
    <w:nsid w:val="A648A2EA"/>
    <w:multiLevelType w:val="singleLevel"/>
    <w:tmpl w:val="A648A2EA"/>
    <w:lvl w:ilvl="0" w:tentative="0">
      <w:start w:val="1"/>
      <w:numFmt w:val="decimal"/>
      <w:suff w:val="nothing"/>
      <w:lvlText w:val="%1．"/>
      <w:lvlJc w:val="left"/>
      <w:pPr>
        <w:ind w:left="0" w:firstLine="400"/>
      </w:pPr>
      <w:rPr>
        <w:rFonts w:hint="default"/>
      </w:rPr>
    </w:lvl>
  </w:abstractNum>
  <w:abstractNum w:abstractNumId="16">
    <w:nsid w:val="A78597E3"/>
    <w:multiLevelType w:val="singleLevel"/>
    <w:tmpl w:val="A78597E3"/>
    <w:lvl w:ilvl="0" w:tentative="0">
      <w:start w:val="1"/>
      <w:numFmt w:val="decimal"/>
      <w:suff w:val="nothing"/>
      <w:lvlText w:val="%1．"/>
      <w:lvlJc w:val="left"/>
      <w:pPr>
        <w:ind w:left="0" w:firstLine="400"/>
      </w:pPr>
      <w:rPr>
        <w:rFonts w:hint="default"/>
      </w:rPr>
    </w:lvl>
  </w:abstractNum>
  <w:abstractNum w:abstractNumId="17">
    <w:nsid w:val="A8AE943A"/>
    <w:multiLevelType w:val="singleLevel"/>
    <w:tmpl w:val="A8AE943A"/>
    <w:lvl w:ilvl="0" w:tentative="0">
      <w:start w:val="1"/>
      <w:numFmt w:val="lowerLetter"/>
      <w:lvlText w:val="%1."/>
      <w:lvlJc w:val="left"/>
      <w:pPr>
        <w:tabs>
          <w:tab w:val="left" w:pos="420"/>
        </w:tabs>
        <w:ind w:left="845" w:hanging="425"/>
      </w:pPr>
      <w:rPr>
        <w:rFonts w:hint="default"/>
      </w:rPr>
    </w:lvl>
  </w:abstractNum>
  <w:abstractNum w:abstractNumId="18">
    <w:nsid w:val="AA57BE8F"/>
    <w:multiLevelType w:val="singleLevel"/>
    <w:tmpl w:val="AA57BE8F"/>
    <w:lvl w:ilvl="0" w:tentative="0">
      <w:start w:val="1"/>
      <w:numFmt w:val="decimal"/>
      <w:suff w:val="nothing"/>
      <w:lvlText w:val="%1．"/>
      <w:lvlJc w:val="left"/>
      <w:pPr>
        <w:ind w:left="0" w:firstLine="400"/>
      </w:pPr>
      <w:rPr>
        <w:rFonts w:hint="default"/>
      </w:rPr>
    </w:lvl>
  </w:abstractNum>
  <w:abstractNum w:abstractNumId="19">
    <w:nsid w:val="AB92FBAC"/>
    <w:multiLevelType w:val="singleLevel"/>
    <w:tmpl w:val="AB92FBAC"/>
    <w:lvl w:ilvl="0" w:tentative="0">
      <w:start w:val="1"/>
      <w:numFmt w:val="decimalEnclosedCircleChinese"/>
      <w:suff w:val="nothing"/>
      <w:lvlText w:val="%1　"/>
      <w:lvlJc w:val="left"/>
      <w:pPr>
        <w:ind w:left="0" w:firstLine="400"/>
      </w:pPr>
      <w:rPr>
        <w:rFonts w:hint="eastAsia"/>
      </w:rPr>
    </w:lvl>
  </w:abstractNum>
  <w:abstractNum w:abstractNumId="20">
    <w:nsid w:val="ACE8B3BE"/>
    <w:multiLevelType w:val="singleLevel"/>
    <w:tmpl w:val="ACE8B3BE"/>
    <w:lvl w:ilvl="0" w:tentative="0">
      <w:start w:val="1"/>
      <w:numFmt w:val="chineseCounting"/>
      <w:suff w:val="nothing"/>
      <w:lvlText w:val="（%1）"/>
      <w:lvlJc w:val="left"/>
      <w:pPr>
        <w:ind w:left="0" w:firstLine="420"/>
      </w:pPr>
      <w:rPr>
        <w:rFonts w:hint="eastAsia"/>
      </w:rPr>
    </w:lvl>
  </w:abstractNum>
  <w:abstractNum w:abstractNumId="21">
    <w:nsid w:val="ADEDA830"/>
    <w:multiLevelType w:val="singleLevel"/>
    <w:tmpl w:val="ADEDA830"/>
    <w:lvl w:ilvl="0" w:tentative="0">
      <w:start w:val="1"/>
      <w:numFmt w:val="decimal"/>
      <w:suff w:val="nothing"/>
      <w:lvlText w:val="%1．"/>
      <w:lvlJc w:val="left"/>
      <w:pPr>
        <w:ind w:left="0" w:firstLine="400"/>
      </w:pPr>
      <w:rPr>
        <w:rFonts w:hint="default"/>
      </w:rPr>
    </w:lvl>
  </w:abstractNum>
  <w:abstractNum w:abstractNumId="22">
    <w:nsid w:val="B3AFBB56"/>
    <w:multiLevelType w:val="singleLevel"/>
    <w:tmpl w:val="B3AFBB56"/>
    <w:lvl w:ilvl="0" w:tentative="0">
      <w:start w:val="1"/>
      <w:numFmt w:val="decimal"/>
      <w:suff w:val="nothing"/>
      <w:lvlText w:val="%1．"/>
      <w:lvlJc w:val="left"/>
      <w:pPr>
        <w:ind w:left="0" w:firstLine="400"/>
      </w:pPr>
      <w:rPr>
        <w:rFonts w:hint="default"/>
      </w:rPr>
    </w:lvl>
  </w:abstractNum>
  <w:abstractNum w:abstractNumId="23">
    <w:nsid w:val="BDF9504E"/>
    <w:multiLevelType w:val="singleLevel"/>
    <w:tmpl w:val="BDF9504E"/>
    <w:lvl w:ilvl="0" w:tentative="0">
      <w:start w:val="7"/>
      <w:numFmt w:val="chineseCounting"/>
      <w:suff w:val="nothing"/>
      <w:lvlText w:val="%1、"/>
      <w:lvlJc w:val="left"/>
      <w:rPr>
        <w:rFonts w:hint="eastAsia"/>
      </w:rPr>
    </w:lvl>
  </w:abstractNum>
  <w:abstractNum w:abstractNumId="24">
    <w:nsid w:val="BFF67CB8"/>
    <w:multiLevelType w:val="singleLevel"/>
    <w:tmpl w:val="BFF67CB8"/>
    <w:lvl w:ilvl="0" w:tentative="0">
      <w:start w:val="1"/>
      <w:numFmt w:val="decimal"/>
      <w:suff w:val="nothing"/>
      <w:lvlText w:val="%1．"/>
      <w:lvlJc w:val="left"/>
      <w:pPr>
        <w:ind w:left="0" w:firstLine="400"/>
      </w:pPr>
      <w:rPr>
        <w:rFonts w:hint="default"/>
      </w:rPr>
    </w:lvl>
  </w:abstractNum>
  <w:abstractNum w:abstractNumId="25">
    <w:nsid w:val="C3256BA6"/>
    <w:multiLevelType w:val="singleLevel"/>
    <w:tmpl w:val="C3256BA6"/>
    <w:lvl w:ilvl="0" w:tentative="0">
      <w:start w:val="1"/>
      <w:numFmt w:val="decimal"/>
      <w:suff w:val="nothing"/>
      <w:lvlText w:val="%1．"/>
      <w:lvlJc w:val="left"/>
      <w:pPr>
        <w:ind w:left="0" w:firstLine="400"/>
      </w:pPr>
      <w:rPr>
        <w:rFonts w:hint="default"/>
      </w:rPr>
    </w:lvl>
  </w:abstractNum>
  <w:abstractNum w:abstractNumId="26">
    <w:nsid w:val="C8E7B2B7"/>
    <w:multiLevelType w:val="singleLevel"/>
    <w:tmpl w:val="C8E7B2B7"/>
    <w:lvl w:ilvl="0" w:tentative="0">
      <w:start w:val="1"/>
      <w:numFmt w:val="decimal"/>
      <w:suff w:val="nothing"/>
      <w:lvlText w:val="%1．"/>
      <w:lvlJc w:val="left"/>
      <w:pPr>
        <w:ind w:left="0" w:firstLine="400"/>
      </w:pPr>
      <w:rPr>
        <w:rFonts w:hint="default"/>
      </w:rPr>
    </w:lvl>
  </w:abstractNum>
  <w:abstractNum w:abstractNumId="27">
    <w:nsid w:val="CBC0DC41"/>
    <w:multiLevelType w:val="singleLevel"/>
    <w:tmpl w:val="CBC0DC41"/>
    <w:lvl w:ilvl="0" w:tentative="0">
      <w:start w:val="1"/>
      <w:numFmt w:val="decimal"/>
      <w:lvlText w:val="%1."/>
      <w:lvlJc w:val="left"/>
      <w:pPr>
        <w:tabs>
          <w:tab w:val="left" w:pos="312"/>
        </w:tabs>
      </w:pPr>
    </w:lvl>
  </w:abstractNum>
  <w:abstractNum w:abstractNumId="28">
    <w:nsid w:val="D06D0FD8"/>
    <w:multiLevelType w:val="singleLevel"/>
    <w:tmpl w:val="D06D0FD8"/>
    <w:lvl w:ilvl="0" w:tentative="0">
      <w:start w:val="1"/>
      <w:numFmt w:val="decimal"/>
      <w:lvlText w:val="%1."/>
      <w:lvlJc w:val="left"/>
      <w:pPr>
        <w:ind w:left="425" w:hanging="425"/>
      </w:pPr>
      <w:rPr>
        <w:rFonts w:hint="default"/>
      </w:rPr>
    </w:lvl>
  </w:abstractNum>
  <w:abstractNum w:abstractNumId="29">
    <w:nsid w:val="D2C348DB"/>
    <w:multiLevelType w:val="singleLevel"/>
    <w:tmpl w:val="D2C348DB"/>
    <w:lvl w:ilvl="0" w:tentative="0">
      <w:start w:val="1"/>
      <w:numFmt w:val="decimal"/>
      <w:suff w:val="nothing"/>
      <w:lvlText w:val="%1．"/>
      <w:lvlJc w:val="left"/>
      <w:pPr>
        <w:ind w:left="0" w:firstLine="400"/>
      </w:pPr>
      <w:rPr>
        <w:rFonts w:hint="default"/>
      </w:rPr>
    </w:lvl>
  </w:abstractNum>
  <w:abstractNum w:abstractNumId="30">
    <w:nsid w:val="D3B0F71C"/>
    <w:multiLevelType w:val="singleLevel"/>
    <w:tmpl w:val="D3B0F71C"/>
    <w:lvl w:ilvl="0" w:tentative="0">
      <w:start w:val="1"/>
      <w:numFmt w:val="lowerLetter"/>
      <w:lvlText w:val="%1."/>
      <w:lvlJc w:val="left"/>
      <w:pPr>
        <w:tabs>
          <w:tab w:val="left" w:pos="420"/>
        </w:tabs>
        <w:ind w:left="845" w:hanging="425"/>
      </w:pPr>
      <w:rPr>
        <w:rFonts w:hint="default"/>
      </w:rPr>
    </w:lvl>
  </w:abstractNum>
  <w:abstractNum w:abstractNumId="31">
    <w:nsid w:val="D43FEEF2"/>
    <w:multiLevelType w:val="singleLevel"/>
    <w:tmpl w:val="D43FEEF2"/>
    <w:lvl w:ilvl="0" w:tentative="0">
      <w:start w:val="1"/>
      <w:numFmt w:val="lowerLetter"/>
      <w:lvlText w:val="%1."/>
      <w:lvlJc w:val="left"/>
      <w:pPr>
        <w:tabs>
          <w:tab w:val="left" w:pos="420"/>
        </w:tabs>
        <w:ind w:left="845" w:hanging="425"/>
      </w:pPr>
      <w:rPr>
        <w:rFonts w:hint="default"/>
      </w:rPr>
    </w:lvl>
  </w:abstractNum>
  <w:abstractNum w:abstractNumId="32">
    <w:nsid w:val="D7C4C19A"/>
    <w:multiLevelType w:val="singleLevel"/>
    <w:tmpl w:val="D7C4C19A"/>
    <w:lvl w:ilvl="0" w:tentative="0">
      <w:start w:val="1"/>
      <w:numFmt w:val="decimal"/>
      <w:lvlText w:val="(%1)"/>
      <w:lvlJc w:val="left"/>
      <w:pPr>
        <w:tabs>
          <w:tab w:val="left" w:pos="420"/>
        </w:tabs>
        <w:ind w:left="845" w:hanging="425"/>
      </w:pPr>
      <w:rPr>
        <w:rFonts w:hint="default"/>
      </w:rPr>
    </w:lvl>
  </w:abstractNum>
  <w:abstractNum w:abstractNumId="33">
    <w:nsid w:val="E528C14B"/>
    <w:multiLevelType w:val="singleLevel"/>
    <w:tmpl w:val="E528C14B"/>
    <w:lvl w:ilvl="0" w:tentative="0">
      <w:start w:val="1"/>
      <w:numFmt w:val="decimal"/>
      <w:lvlText w:val="(%1)"/>
      <w:lvlJc w:val="left"/>
      <w:pPr>
        <w:ind w:left="425" w:hanging="425"/>
      </w:pPr>
      <w:rPr>
        <w:rFonts w:hint="default"/>
      </w:rPr>
    </w:lvl>
  </w:abstractNum>
  <w:abstractNum w:abstractNumId="34">
    <w:nsid w:val="E7EAA8E3"/>
    <w:multiLevelType w:val="singleLevel"/>
    <w:tmpl w:val="E7EAA8E3"/>
    <w:lvl w:ilvl="0" w:tentative="0">
      <w:start w:val="1"/>
      <w:numFmt w:val="decimal"/>
      <w:suff w:val="nothing"/>
      <w:lvlText w:val="%1．"/>
      <w:lvlJc w:val="left"/>
      <w:pPr>
        <w:ind w:left="0" w:firstLine="400"/>
      </w:pPr>
      <w:rPr>
        <w:rFonts w:hint="default"/>
      </w:rPr>
    </w:lvl>
  </w:abstractNum>
  <w:abstractNum w:abstractNumId="35">
    <w:nsid w:val="E85C678E"/>
    <w:multiLevelType w:val="singleLevel"/>
    <w:tmpl w:val="E85C678E"/>
    <w:lvl w:ilvl="0" w:tentative="0">
      <w:start w:val="1"/>
      <w:numFmt w:val="decimal"/>
      <w:suff w:val="nothing"/>
      <w:lvlText w:val="%1．"/>
      <w:lvlJc w:val="left"/>
      <w:pPr>
        <w:ind w:left="0" w:firstLine="400"/>
      </w:pPr>
      <w:rPr>
        <w:rFonts w:hint="default"/>
      </w:rPr>
    </w:lvl>
  </w:abstractNum>
  <w:abstractNum w:abstractNumId="36">
    <w:nsid w:val="E9D70A4A"/>
    <w:multiLevelType w:val="singleLevel"/>
    <w:tmpl w:val="E9D70A4A"/>
    <w:lvl w:ilvl="0" w:tentative="0">
      <w:start w:val="1"/>
      <w:numFmt w:val="lowerLetter"/>
      <w:lvlText w:val="%1."/>
      <w:lvlJc w:val="left"/>
      <w:pPr>
        <w:ind w:left="425" w:hanging="425"/>
      </w:pPr>
      <w:rPr>
        <w:rFonts w:hint="default"/>
      </w:rPr>
    </w:lvl>
  </w:abstractNum>
  <w:abstractNum w:abstractNumId="37">
    <w:nsid w:val="EA8237CA"/>
    <w:multiLevelType w:val="singleLevel"/>
    <w:tmpl w:val="EA8237CA"/>
    <w:lvl w:ilvl="0" w:tentative="0">
      <w:start w:val="1"/>
      <w:numFmt w:val="decimal"/>
      <w:suff w:val="nothing"/>
      <w:lvlText w:val="%1．"/>
      <w:lvlJc w:val="left"/>
      <w:pPr>
        <w:ind w:left="0" w:firstLine="400"/>
      </w:pPr>
      <w:rPr>
        <w:rFonts w:hint="default"/>
      </w:rPr>
    </w:lvl>
  </w:abstractNum>
  <w:abstractNum w:abstractNumId="38">
    <w:nsid w:val="F173C995"/>
    <w:multiLevelType w:val="singleLevel"/>
    <w:tmpl w:val="F173C995"/>
    <w:lvl w:ilvl="0" w:tentative="0">
      <w:start w:val="1"/>
      <w:numFmt w:val="decimal"/>
      <w:suff w:val="nothing"/>
      <w:lvlText w:val="%1．"/>
      <w:lvlJc w:val="left"/>
      <w:pPr>
        <w:ind w:left="0" w:firstLine="400"/>
      </w:pPr>
      <w:rPr>
        <w:rFonts w:hint="default"/>
      </w:rPr>
    </w:lvl>
  </w:abstractNum>
  <w:abstractNum w:abstractNumId="39">
    <w:nsid w:val="F57DB8CB"/>
    <w:multiLevelType w:val="singleLevel"/>
    <w:tmpl w:val="F57DB8CB"/>
    <w:lvl w:ilvl="0" w:tentative="0">
      <w:start w:val="1"/>
      <w:numFmt w:val="chineseCounting"/>
      <w:suff w:val="nothing"/>
      <w:lvlText w:val="（%1）"/>
      <w:lvlJc w:val="left"/>
      <w:pPr>
        <w:ind w:left="0" w:firstLine="420"/>
      </w:pPr>
      <w:rPr>
        <w:rFonts w:hint="eastAsia"/>
      </w:rPr>
    </w:lvl>
  </w:abstractNum>
  <w:abstractNum w:abstractNumId="40">
    <w:nsid w:val="F618EF5B"/>
    <w:multiLevelType w:val="singleLevel"/>
    <w:tmpl w:val="F618EF5B"/>
    <w:lvl w:ilvl="0" w:tentative="0">
      <w:start w:val="1"/>
      <w:numFmt w:val="decimal"/>
      <w:suff w:val="nothing"/>
      <w:lvlText w:val="%1．"/>
      <w:lvlJc w:val="left"/>
      <w:pPr>
        <w:ind w:left="0" w:firstLine="400"/>
      </w:pPr>
      <w:rPr>
        <w:rFonts w:hint="default"/>
      </w:rPr>
    </w:lvl>
  </w:abstractNum>
  <w:abstractNum w:abstractNumId="41">
    <w:nsid w:val="F8305201"/>
    <w:multiLevelType w:val="singleLevel"/>
    <w:tmpl w:val="F8305201"/>
    <w:lvl w:ilvl="0" w:tentative="0">
      <w:start w:val="1"/>
      <w:numFmt w:val="decimal"/>
      <w:suff w:val="nothing"/>
      <w:lvlText w:val="%1．"/>
      <w:lvlJc w:val="left"/>
      <w:pPr>
        <w:ind w:left="0" w:firstLine="400"/>
      </w:pPr>
      <w:rPr>
        <w:rFonts w:hint="default"/>
      </w:rPr>
    </w:lvl>
  </w:abstractNum>
  <w:abstractNum w:abstractNumId="42">
    <w:nsid w:val="F8923C92"/>
    <w:multiLevelType w:val="singleLevel"/>
    <w:tmpl w:val="F8923C92"/>
    <w:lvl w:ilvl="0" w:tentative="0">
      <w:start w:val="1"/>
      <w:numFmt w:val="decimal"/>
      <w:suff w:val="nothing"/>
      <w:lvlText w:val="%1．"/>
      <w:lvlJc w:val="left"/>
      <w:pPr>
        <w:ind w:left="0" w:firstLine="400"/>
      </w:pPr>
      <w:rPr>
        <w:rFonts w:hint="default"/>
      </w:rPr>
    </w:lvl>
  </w:abstractNum>
  <w:abstractNum w:abstractNumId="43">
    <w:nsid w:val="FA1BE2EF"/>
    <w:multiLevelType w:val="singleLevel"/>
    <w:tmpl w:val="FA1BE2EF"/>
    <w:lvl w:ilvl="0" w:tentative="0">
      <w:start w:val="1"/>
      <w:numFmt w:val="decimal"/>
      <w:suff w:val="nothing"/>
      <w:lvlText w:val="%1．"/>
      <w:lvlJc w:val="left"/>
      <w:pPr>
        <w:ind w:left="0" w:firstLine="400"/>
      </w:pPr>
      <w:rPr>
        <w:rFonts w:hint="default"/>
      </w:rPr>
    </w:lvl>
  </w:abstractNum>
  <w:abstractNum w:abstractNumId="44">
    <w:nsid w:val="FBB22012"/>
    <w:multiLevelType w:val="singleLevel"/>
    <w:tmpl w:val="FBB22012"/>
    <w:lvl w:ilvl="0" w:tentative="0">
      <w:start w:val="1"/>
      <w:numFmt w:val="decimal"/>
      <w:suff w:val="nothing"/>
      <w:lvlText w:val="%1．"/>
      <w:lvlJc w:val="left"/>
      <w:pPr>
        <w:ind w:left="0" w:firstLine="400"/>
      </w:pPr>
      <w:rPr>
        <w:rFonts w:hint="default"/>
      </w:rPr>
    </w:lvl>
  </w:abstractNum>
  <w:abstractNum w:abstractNumId="45">
    <w:nsid w:val="00000023"/>
    <w:multiLevelType w:val="singleLevel"/>
    <w:tmpl w:val="00000023"/>
    <w:lvl w:ilvl="0" w:tentative="0">
      <w:start w:val="1"/>
      <w:numFmt w:val="chineseCounting"/>
      <w:pStyle w:val="189"/>
      <w:suff w:val="nothing"/>
      <w:lvlText w:val="第%1条"/>
      <w:lvlJc w:val="left"/>
      <w:rPr>
        <w:b/>
      </w:rPr>
    </w:lvl>
  </w:abstractNum>
  <w:abstractNum w:abstractNumId="46">
    <w:nsid w:val="00A40C42"/>
    <w:multiLevelType w:val="singleLevel"/>
    <w:tmpl w:val="00A40C42"/>
    <w:lvl w:ilvl="0" w:tentative="0">
      <w:start w:val="1"/>
      <w:numFmt w:val="decimal"/>
      <w:suff w:val="nothing"/>
      <w:lvlText w:val="%1．"/>
      <w:lvlJc w:val="left"/>
      <w:pPr>
        <w:ind w:left="0" w:firstLine="400"/>
      </w:pPr>
      <w:rPr>
        <w:rFonts w:hint="default"/>
      </w:rPr>
    </w:lvl>
  </w:abstractNum>
  <w:abstractNum w:abstractNumId="47">
    <w:nsid w:val="0877368E"/>
    <w:multiLevelType w:val="singleLevel"/>
    <w:tmpl w:val="0877368E"/>
    <w:lvl w:ilvl="0" w:tentative="0">
      <w:start w:val="1"/>
      <w:numFmt w:val="decimalEnclosedCircleChinese"/>
      <w:suff w:val="nothing"/>
      <w:lvlText w:val="%1　"/>
      <w:lvlJc w:val="left"/>
      <w:pPr>
        <w:ind w:left="0" w:firstLine="400"/>
      </w:pPr>
      <w:rPr>
        <w:rFonts w:hint="eastAsia"/>
      </w:rPr>
    </w:lvl>
  </w:abstractNum>
  <w:abstractNum w:abstractNumId="48">
    <w:nsid w:val="09113C82"/>
    <w:multiLevelType w:val="singleLevel"/>
    <w:tmpl w:val="09113C82"/>
    <w:lvl w:ilvl="0" w:tentative="0">
      <w:start w:val="1"/>
      <w:numFmt w:val="decimal"/>
      <w:suff w:val="nothing"/>
      <w:lvlText w:val="%1．"/>
      <w:lvlJc w:val="left"/>
      <w:pPr>
        <w:ind w:left="0" w:firstLine="400"/>
      </w:pPr>
      <w:rPr>
        <w:rFonts w:hint="default"/>
      </w:rPr>
    </w:lvl>
  </w:abstractNum>
  <w:abstractNum w:abstractNumId="49">
    <w:nsid w:val="0AB90C6B"/>
    <w:multiLevelType w:val="multilevel"/>
    <w:tmpl w:val="0AB90C6B"/>
    <w:lvl w:ilvl="0" w:tentative="0">
      <w:start w:val="1"/>
      <w:numFmt w:val="decimal"/>
      <w:lvlText w:val="（%1）"/>
      <w:lvlJc w:val="left"/>
      <w:pPr>
        <w:tabs>
          <w:tab w:val="left" w:pos="937"/>
        </w:tabs>
        <w:ind w:left="926" w:hanging="500"/>
      </w:pPr>
      <w:rPr>
        <w:rFonts w:hint="eastAsia"/>
      </w:rPr>
    </w:lvl>
    <w:lvl w:ilvl="1" w:tentative="0">
      <w:start w:val="1"/>
      <w:numFmt w:val="japaneseCounting"/>
      <w:lvlText w:val="（%2）"/>
      <w:lvlJc w:val="left"/>
      <w:pPr>
        <w:ind w:left="1562" w:hanging="720"/>
      </w:pPr>
      <w:rPr>
        <w:rFonts w:hint="default"/>
      </w:rPr>
    </w:lvl>
    <w:lvl w:ilvl="2" w:tentative="0">
      <w:start w:val="1"/>
      <w:numFmt w:val="lowerRoman"/>
      <w:lvlText w:val="%3."/>
      <w:lvlJc w:val="right"/>
      <w:pPr>
        <w:tabs>
          <w:tab w:val="left" w:pos="1682"/>
        </w:tabs>
        <w:ind w:left="1682" w:hanging="420"/>
      </w:pPr>
    </w:lvl>
    <w:lvl w:ilvl="3" w:tentative="0">
      <w:start w:val="1"/>
      <w:numFmt w:val="decimal"/>
      <w:lvlText w:val="%4."/>
      <w:lvlJc w:val="left"/>
      <w:pPr>
        <w:tabs>
          <w:tab w:val="left" w:pos="2102"/>
        </w:tabs>
        <w:ind w:left="2102" w:hanging="420"/>
      </w:pPr>
    </w:lvl>
    <w:lvl w:ilvl="4" w:tentative="0">
      <w:start w:val="1"/>
      <w:numFmt w:val="lowerLetter"/>
      <w:lvlText w:val="%5)"/>
      <w:lvlJc w:val="left"/>
      <w:pPr>
        <w:tabs>
          <w:tab w:val="left" w:pos="2522"/>
        </w:tabs>
        <w:ind w:left="2522" w:hanging="420"/>
      </w:pPr>
    </w:lvl>
    <w:lvl w:ilvl="5" w:tentative="0">
      <w:start w:val="1"/>
      <w:numFmt w:val="lowerRoman"/>
      <w:lvlText w:val="%6."/>
      <w:lvlJc w:val="right"/>
      <w:pPr>
        <w:tabs>
          <w:tab w:val="left" w:pos="2942"/>
        </w:tabs>
        <w:ind w:left="2942" w:hanging="420"/>
      </w:pPr>
    </w:lvl>
    <w:lvl w:ilvl="6" w:tentative="0">
      <w:start w:val="1"/>
      <w:numFmt w:val="decimal"/>
      <w:lvlText w:val="%7."/>
      <w:lvlJc w:val="left"/>
      <w:pPr>
        <w:tabs>
          <w:tab w:val="left" w:pos="3362"/>
        </w:tabs>
        <w:ind w:left="3362" w:hanging="420"/>
      </w:pPr>
    </w:lvl>
    <w:lvl w:ilvl="7" w:tentative="0">
      <w:start w:val="1"/>
      <w:numFmt w:val="lowerLetter"/>
      <w:lvlText w:val="%8)"/>
      <w:lvlJc w:val="left"/>
      <w:pPr>
        <w:tabs>
          <w:tab w:val="left" w:pos="3782"/>
        </w:tabs>
        <w:ind w:left="3782" w:hanging="420"/>
      </w:pPr>
    </w:lvl>
    <w:lvl w:ilvl="8" w:tentative="0">
      <w:start w:val="1"/>
      <w:numFmt w:val="lowerRoman"/>
      <w:lvlText w:val="%9."/>
      <w:lvlJc w:val="right"/>
      <w:pPr>
        <w:tabs>
          <w:tab w:val="left" w:pos="4202"/>
        </w:tabs>
        <w:ind w:left="4202" w:hanging="420"/>
      </w:pPr>
    </w:lvl>
  </w:abstractNum>
  <w:abstractNum w:abstractNumId="50">
    <w:nsid w:val="0CDF335B"/>
    <w:multiLevelType w:val="singleLevel"/>
    <w:tmpl w:val="0CDF335B"/>
    <w:lvl w:ilvl="0" w:tentative="0">
      <w:start w:val="1"/>
      <w:numFmt w:val="decimal"/>
      <w:suff w:val="nothing"/>
      <w:lvlText w:val="%1．"/>
      <w:lvlJc w:val="left"/>
      <w:pPr>
        <w:ind w:left="0" w:firstLine="400"/>
      </w:pPr>
      <w:rPr>
        <w:rFonts w:hint="default"/>
      </w:rPr>
    </w:lvl>
  </w:abstractNum>
  <w:abstractNum w:abstractNumId="51">
    <w:nsid w:val="1069C0B1"/>
    <w:multiLevelType w:val="singleLevel"/>
    <w:tmpl w:val="1069C0B1"/>
    <w:lvl w:ilvl="0" w:tentative="0">
      <w:start w:val="1"/>
      <w:numFmt w:val="decimal"/>
      <w:suff w:val="nothing"/>
      <w:lvlText w:val="%1．"/>
      <w:lvlJc w:val="left"/>
      <w:pPr>
        <w:ind w:left="0" w:firstLine="400"/>
      </w:pPr>
      <w:rPr>
        <w:rFonts w:hint="default"/>
      </w:rPr>
    </w:lvl>
  </w:abstractNum>
  <w:abstractNum w:abstractNumId="52">
    <w:nsid w:val="16C65DBF"/>
    <w:multiLevelType w:val="multilevel"/>
    <w:tmpl w:val="16C65DBF"/>
    <w:lvl w:ilvl="0" w:tentative="0">
      <w:start w:val="1"/>
      <w:numFmt w:val="decimal"/>
      <w:pStyle w:val="279"/>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3">
    <w:nsid w:val="1BA3A816"/>
    <w:multiLevelType w:val="singleLevel"/>
    <w:tmpl w:val="1BA3A816"/>
    <w:lvl w:ilvl="0" w:tentative="0">
      <w:start w:val="1"/>
      <w:numFmt w:val="decimal"/>
      <w:suff w:val="nothing"/>
      <w:lvlText w:val="%1．"/>
      <w:lvlJc w:val="left"/>
      <w:pPr>
        <w:ind w:left="0" w:firstLine="400"/>
      </w:pPr>
      <w:rPr>
        <w:rFonts w:hint="default"/>
      </w:rPr>
    </w:lvl>
  </w:abstractNum>
  <w:abstractNum w:abstractNumId="54">
    <w:nsid w:val="1D1BCD88"/>
    <w:multiLevelType w:val="singleLevel"/>
    <w:tmpl w:val="1D1BCD88"/>
    <w:lvl w:ilvl="0" w:tentative="0">
      <w:start w:val="1"/>
      <w:numFmt w:val="decimal"/>
      <w:suff w:val="nothing"/>
      <w:lvlText w:val="%1．"/>
      <w:lvlJc w:val="left"/>
      <w:pPr>
        <w:ind w:left="0" w:firstLine="400"/>
      </w:pPr>
      <w:rPr>
        <w:rFonts w:hint="default"/>
      </w:rPr>
    </w:lvl>
  </w:abstractNum>
  <w:abstractNum w:abstractNumId="55">
    <w:nsid w:val="1DD62334"/>
    <w:multiLevelType w:val="singleLevel"/>
    <w:tmpl w:val="1DD62334"/>
    <w:lvl w:ilvl="0" w:tentative="0">
      <w:start w:val="1"/>
      <w:numFmt w:val="decimal"/>
      <w:suff w:val="nothing"/>
      <w:lvlText w:val="%1．"/>
      <w:lvlJc w:val="left"/>
      <w:pPr>
        <w:ind w:left="0" w:firstLine="400"/>
      </w:pPr>
      <w:rPr>
        <w:rFonts w:hint="default"/>
      </w:rPr>
    </w:lvl>
  </w:abstractNum>
  <w:abstractNum w:abstractNumId="56">
    <w:nsid w:val="234219AE"/>
    <w:multiLevelType w:val="singleLevel"/>
    <w:tmpl w:val="234219AE"/>
    <w:lvl w:ilvl="0" w:tentative="0">
      <w:start w:val="1"/>
      <w:numFmt w:val="chineseCounting"/>
      <w:suff w:val="nothing"/>
      <w:lvlText w:val="（%1）"/>
      <w:lvlJc w:val="left"/>
      <w:pPr>
        <w:ind w:left="0" w:firstLine="420"/>
      </w:pPr>
      <w:rPr>
        <w:rFonts w:hint="eastAsia"/>
      </w:rPr>
    </w:lvl>
  </w:abstractNum>
  <w:abstractNum w:abstractNumId="57">
    <w:nsid w:val="245FCEBA"/>
    <w:multiLevelType w:val="singleLevel"/>
    <w:tmpl w:val="245FCEBA"/>
    <w:lvl w:ilvl="0" w:tentative="0">
      <w:start w:val="1"/>
      <w:numFmt w:val="decimal"/>
      <w:lvlText w:val="(%1)"/>
      <w:lvlJc w:val="left"/>
      <w:pPr>
        <w:tabs>
          <w:tab w:val="left" w:pos="420"/>
        </w:tabs>
        <w:ind w:left="845" w:hanging="425"/>
      </w:pPr>
      <w:rPr>
        <w:rFonts w:hint="default"/>
      </w:rPr>
    </w:lvl>
  </w:abstractNum>
  <w:abstractNum w:abstractNumId="58">
    <w:nsid w:val="2C97D2BA"/>
    <w:multiLevelType w:val="singleLevel"/>
    <w:tmpl w:val="2C97D2BA"/>
    <w:lvl w:ilvl="0" w:tentative="0">
      <w:start w:val="1"/>
      <w:numFmt w:val="chineseCounting"/>
      <w:suff w:val="nothing"/>
      <w:lvlText w:val="%1、"/>
      <w:lvlJc w:val="left"/>
      <w:rPr>
        <w:rFonts w:hint="eastAsia"/>
      </w:rPr>
    </w:lvl>
  </w:abstractNum>
  <w:abstractNum w:abstractNumId="59">
    <w:nsid w:val="3B80C88C"/>
    <w:multiLevelType w:val="singleLevel"/>
    <w:tmpl w:val="3B80C88C"/>
    <w:lvl w:ilvl="0" w:tentative="0">
      <w:start w:val="1"/>
      <w:numFmt w:val="chineseCounting"/>
      <w:suff w:val="nothing"/>
      <w:lvlText w:val="（%1）"/>
      <w:lvlJc w:val="left"/>
      <w:pPr>
        <w:ind w:left="0" w:firstLine="420"/>
      </w:pPr>
      <w:rPr>
        <w:rFonts w:hint="eastAsia"/>
      </w:rPr>
    </w:lvl>
  </w:abstractNum>
  <w:abstractNum w:abstractNumId="60">
    <w:nsid w:val="470E0B75"/>
    <w:multiLevelType w:val="singleLevel"/>
    <w:tmpl w:val="470E0B75"/>
    <w:lvl w:ilvl="0" w:tentative="0">
      <w:start w:val="1"/>
      <w:numFmt w:val="decimal"/>
      <w:suff w:val="nothing"/>
      <w:lvlText w:val="%1．"/>
      <w:lvlJc w:val="left"/>
      <w:pPr>
        <w:ind w:left="0" w:firstLine="400"/>
      </w:pPr>
      <w:rPr>
        <w:rFonts w:hint="default"/>
      </w:rPr>
    </w:lvl>
  </w:abstractNum>
  <w:abstractNum w:abstractNumId="61">
    <w:nsid w:val="491425E7"/>
    <w:multiLevelType w:val="singleLevel"/>
    <w:tmpl w:val="491425E7"/>
    <w:lvl w:ilvl="0" w:tentative="0">
      <w:start w:val="1"/>
      <w:numFmt w:val="decimal"/>
      <w:suff w:val="nothing"/>
      <w:lvlText w:val="%1．"/>
      <w:lvlJc w:val="left"/>
      <w:pPr>
        <w:ind w:left="0" w:firstLine="400"/>
      </w:pPr>
      <w:rPr>
        <w:rFonts w:hint="default"/>
      </w:rPr>
    </w:lvl>
  </w:abstractNum>
  <w:abstractNum w:abstractNumId="62">
    <w:nsid w:val="49F875A5"/>
    <w:multiLevelType w:val="multilevel"/>
    <w:tmpl w:val="49F875A5"/>
    <w:lvl w:ilvl="0" w:tentative="0">
      <w:start w:val="1"/>
      <w:numFmt w:val="decimal"/>
      <w:suff w:val="space"/>
      <w:lvlText w:val="（%1）"/>
      <w:lvlJc w:val="left"/>
      <w:pPr>
        <w:ind w:left="926" w:hanging="500"/>
      </w:pPr>
      <w:rPr>
        <w:rFonts w:hint="eastAsia"/>
      </w:rPr>
    </w:lvl>
    <w:lvl w:ilvl="1" w:tentative="0">
      <w:start w:val="1"/>
      <w:numFmt w:val="japaneseCounting"/>
      <w:lvlText w:val="（%2）"/>
      <w:lvlJc w:val="left"/>
      <w:pPr>
        <w:ind w:left="1562" w:hanging="720"/>
      </w:pPr>
      <w:rPr>
        <w:rFonts w:hint="default"/>
      </w:rPr>
    </w:lvl>
    <w:lvl w:ilvl="2" w:tentative="0">
      <w:start w:val="1"/>
      <w:numFmt w:val="lowerRoman"/>
      <w:lvlText w:val="%3."/>
      <w:lvlJc w:val="right"/>
      <w:pPr>
        <w:tabs>
          <w:tab w:val="left" w:pos="1682"/>
        </w:tabs>
        <w:ind w:left="1682" w:hanging="420"/>
      </w:pPr>
      <w:rPr>
        <w:rFonts w:hint="eastAsia"/>
      </w:rPr>
    </w:lvl>
    <w:lvl w:ilvl="3" w:tentative="0">
      <w:start w:val="1"/>
      <w:numFmt w:val="decimal"/>
      <w:lvlText w:val="%4."/>
      <w:lvlJc w:val="left"/>
      <w:pPr>
        <w:tabs>
          <w:tab w:val="left" w:pos="2102"/>
        </w:tabs>
        <w:ind w:left="2102" w:hanging="420"/>
      </w:pPr>
      <w:rPr>
        <w:rFonts w:hint="eastAsia"/>
      </w:rPr>
    </w:lvl>
    <w:lvl w:ilvl="4" w:tentative="0">
      <w:start w:val="1"/>
      <w:numFmt w:val="lowerLetter"/>
      <w:lvlText w:val="%5)"/>
      <w:lvlJc w:val="left"/>
      <w:pPr>
        <w:tabs>
          <w:tab w:val="left" w:pos="2522"/>
        </w:tabs>
        <w:ind w:left="2522" w:hanging="420"/>
      </w:pPr>
      <w:rPr>
        <w:rFonts w:hint="eastAsia"/>
      </w:rPr>
    </w:lvl>
    <w:lvl w:ilvl="5" w:tentative="0">
      <w:start w:val="1"/>
      <w:numFmt w:val="lowerRoman"/>
      <w:lvlText w:val="%6."/>
      <w:lvlJc w:val="right"/>
      <w:pPr>
        <w:tabs>
          <w:tab w:val="left" w:pos="2942"/>
        </w:tabs>
        <w:ind w:left="2942" w:hanging="420"/>
      </w:pPr>
      <w:rPr>
        <w:rFonts w:hint="eastAsia"/>
      </w:rPr>
    </w:lvl>
    <w:lvl w:ilvl="6" w:tentative="0">
      <w:start w:val="1"/>
      <w:numFmt w:val="decimal"/>
      <w:lvlText w:val="%7."/>
      <w:lvlJc w:val="left"/>
      <w:pPr>
        <w:tabs>
          <w:tab w:val="left" w:pos="3362"/>
        </w:tabs>
        <w:ind w:left="3362" w:hanging="420"/>
      </w:pPr>
      <w:rPr>
        <w:rFonts w:hint="eastAsia"/>
      </w:rPr>
    </w:lvl>
    <w:lvl w:ilvl="7" w:tentative="0">
      <w:start w:val="1"/>
      <w:numFmt w:val="lowerLetter"/>
      <w:lvlText w:val="%8)"/>
      <w:lvlJc w:val="left"/>
      <w:pPr>
        <w:tabs>
          <w:tab w:val="left" w:pos="3782"/>
        </w:tabs>
        <w:ind w:left="3782" w:hanging="420"/>
      </w:pPr>
      <w:rPr>
        <w:rFonts w:hint="eastAsia"/>
      </w:rPr>
    </w:lvl>
    <w:lvl w:ilvl="8" w:tentative="0">
      <w:start w:val="1"/>
      <w:numFmt w:val="lowerRoman"/>
      <w:lvlText w:val="%9."/>
      <w:lvlJc w:val="right"/>
      <w:pPr>
        <w:tabs>
          <w:tab w:val="left" w:pos="4202"/>
        </w:tabs>
        <w:ind w:left="4202" w:hanging="420"/>
      </w:pPr>
      <w:rPr>
        <w:rFonts w:hint="eastAsia"/>
      </w:rPr>
    </w:lvl>
  </w:abstractNum>
  <w:abstractNum w:abstractNumId="63">
    <w:nsid w:val="4A8A7417"/>
    <w:multiLevelType w:val="singleLevel"/>
    <w:tmpl w:val="4A8A7417"/>
    <w:lvl w:ilvl="0" w:tentative="0">
      <w:start w:val="1"/>
      <w:numFmt w:val="decimal"/>
      <w:suff w:val="nothing"/>
      <w:lvlText w:val="%1．"/>
      <w:lvlJc w:val="left"/>
      <w:pPr>
        <w:ind w:left="0" w:firstLine="400"/>
      </w:pPr>
      <w:rPr>
        <w:rFonts w:hint="default"/>
      </w:rPr>
    </w:lvl>
  </w:abstractNum>
  <w:abstractNum w:abstractNumId="64">
    <w:nsid w:val="4C3F39EC"/>
    <w:multiLevelType w:val="singleLevel"/>
    <w:tmpl w:val="4C3F39EC"/>
    <w:lvl w:ilvl="0" w:tentative="0">
      <w:start w:val="1"/>
      <w:numFmt w:val="decimal"/>
      <w:suff w:val="nothing"/>
      <w:lvlText w:val="%1．"/>
      <w:lvlJc w:val="left"/>
      <w:pPr>
        <w:ind w:left="0" w:firstLine="400"/>
      </w:pPr>
      <w:rPr>
        <w:rFonts w:hint="default"/>
      </w:rPr>
    </w:lvl>
  </w:abstractNum>
  <w:abstractNum w:abstractNumId="65">
    <w:nsid w:val="4DAC762D"/>
    <w:multiLevelType w:val="multilevel"/>
    <w:tmpl w:val="4DAC762D"/>
    <w:lvl w:ilvl="0" w:tentative="0">
      <w:start w:val="1"/>
      <w:numFmt w:val="decimal"/>
      <w:lvlText w:val="%1"/>
      <w:lvlJc w:val="left"/>
      <w:pPr>
        <w:tabs>
          <w:tab w:val="left" w:pos="432"/>
        </w:tabs>
        <w:ind w:left="432" w:hanging="432"/>
      </w:pPr>
      <w:rPr>
        <w:rFonts w:hint="eastAsia"/>
      </w:rPr>
    </w:lvl>
    <w:lvl w:ilvl="1" w:tentative="0">
      <w:start w:val="1"/>
      <w:numFmt w:val="decimal"/>
      <w:pStyle w:val="278"/>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66">
    <w:nsid w:val="50E76510"/>
    <w:multiLevelType w:val="singleLevel"/>
    <w:tmpl w:val="50E76510"/>
    <w:lvl w:ilvl="0" w:tentative="0">
      <w:start w:val="1"/>
      <w:numFmt w:val="chineseCounting"/>
      <w:suff w:val="nothing"/>
      <w:lvlText w:val="%1、"/>
      <w:lvlJc w:val="left"/>
      <w:pPr>
        <w:ind w:left="0" w:firstLine="420"/>
      </w:pPr>
      <w:rPr>
        <w:rFonts w:hint="eastAsia"/>
      </w:rPr>
    </w:lvl>
  </w:abstractNum>
  <w:abstractNum w:abstractNumId="67">
    <w:nsid w:val="5A3C02B2"/>
    <w:multiLevelType w:val="singleLevel"/>
    <w:tmpl w:val="5A3C02B2"/>
    <w:lvl w:ilvl="0" w:tentative="0">
      <w:start w:val="1"/>
      <w:numFmt w:val="lowerLetter"/>
      <w:lvlText w:val="%1."/>
      <w:lvlJc w:val="left"/>
      <w:pPr>
        <w:ind w:left="425" w:hanging="425"/>
      </w:pPr>
      <w:rPr>
        <w:rFonts w:hint="default"/>
      </w:rPr>
    </w:lvl>
  </w:abstractNum>
  <w:abstractNum w:abstractNumId="68">
    <w:nsid w:val="5B61E9A3"/>
    <w:multiLevelType w:val="singleLevel"/>
    <w:tmpl w:val="5B61E9A3"/>
    <w:lvl w:ilvl="0" w:tentative="0">
      <w:start w:val="1"/>
      <w:numFmt w:val="decimal"/>
      <w:suff w:val="nothing"/>
      <w:lvlText w:val="%1．"/>
      <w:lvlJc w:val="left"/>
      <w:pPr>
        <w:ind w:left="0" w:firstLine="400"/>
      </w:pPr>
      <w:rPr>
        <w:rFonts w:hint="default"/>
      </w:rPr>
    </w:lvl>
  </w:abstractNum>
  <w:abstractNum w:abstractNumId="69">
    <w:nsid w:val="5C4F23DE"/>
    <w:multiLevelType w:val="singleLevel"/>
    <w:tmpl w:val="5C4F23DE"/>
    <w:lvl w:ilvl="0" w:tentative="0">
      <w:start w:val="1"/>
      <w:numFmt w:val="decimal"/>
      <w:suff w:val="nothing"/>
      <w:lvlText w:val="%1．"/>
      <w:lvlJc w:val="left"/>
      <w:pPr>
        <w:ind w:left="0" w:firstLine="400"/>
      </w:pPr>
      <w:rPr>
        <w:rFonts w:hint="default"/>
      </w:rPr>
    </w:lvl>
  </w:abstractNum>
  <w:abstractNum w:abstractNumId="70">
    <w:nsid w:val="5E77E2AA"/>
    <w:multiLevelType w:val="singleLevel"/>
    <w:tmpl w:val="5E77E2AA"/>
    <w:lvl w:ilvl="0" w:tentative="0">
      <w:start w:val="1"/>
      <w:numFmt w:val="chineseCounting"/>
      <w:suff w:val="nothing"/>
      <w:lvlText w:val="（%1）"/>
      <w:lvlJc w:val="left"/>
      <w:rPr>
        <w:rFonts w:hint="eastAsia"/>
      </w:rPr>
    </w:lvl>
  </w:abstractNum>
  <w:abstractNum w:abstractNumId="71">
    <w:nsid w:val="628B3F02"/>
    <w:multiLevelType w:val="singleLevel"/>
    <w:tmpl w:val="628B3F02"/>
    <w:lvl w:ilvl="0" w:tentative="0">
      <w:start w:val="5"/>
      <w:numFmt w:val="decimal"/>
      <w:suff w:val="nothing"/>
      <w:lvlText w:val="%1."/>
      <w:lvlJc w:val="left"/>
    </w:lvl>
  </w:abstractNum>
  <w:abstractNum w:abstractNumId="72">
    <w:nsid w:val="659D1ECD"/>
    <w:multiLevelType w:val="singleLevel"/>
    <w:tmpl w:val="659D1ECD"/>
    <w:lvl w:ilvl="0" w:tentative="0">
      <w:start w:val="1"/>
      <w:numFmt w:val="decimal"/>
      <w:suff w:val="nothing"/>
      <w:lvlText w:val="%1．"/>
      <w:lvlJc w:val="left"/>
      <w:pPr>
        <w:ind w:left="0" w:firstLine="400"/>
      </w:pPr>
      <w:rPr>
        <w:rFonts w:hint="default"/>
      </w:rPr>
    </w:lvl>
  </w:abstractNum>
  <w:abstractNum w:abstractNumId="73">
    <w:nsid w:val="6653AF67"/>
    <w:multiLevelType w:val="singleLevel"/>
    <w:tmpl w:val="6653AF67"/>
    <w:lvl w:ilvl="0" w:tentative="0">
      <w:start w:val="1"/>
      <w:numFmt w:val="decimal"/>
      <w:suff w:val="nothing"/>
      <w:lvlText w:val="%1．"/>
      <w:lvlJc w:val="left"/>
      <w:pPr>
        <w:ind w:left="0" w:firstLine="400"/>
      </w:pPr>
      <w:rPr>
        <w:rFonts w:hint="default"/>
      </w:rPr>
    </w:lvl>
  </w:abstractNum>
  <w:abstractNum w:abstractNumId="74">
    <w:nsid w:val="6AFE4650"/>
    <w:multiLevelType w:val="singleLevel"/>
    <w:tmpl w:val="6AFE4650"/>
    <w:lvl w:ilvl="0" w:tentative="0">
      <w:start w:val="1"/>
      <w:numFmt w:val="decimal"/>
      <w:lvlText w:val="(%1)"/>
      <w:lvlJc w:val="left"/>
      <w:pPr>
        <w:tabs>
          <w:tab w:val="left" w:pos="420"/>
        </w:tabs>
        <w:ind w:left="845" w:hanging="425"/>
      </w:pPr>
      <w:rPr>
        <w:rFonts w:hint="default"/>
      </w:rPr>
    </w:lvl>
  </w:abstractNum>
  <w:abstractNum w:abstractNumId="75">
    <w:nsid w:val="6F140D28"/>
    <w:multiLevelType w:val="singleLevel"/>
    <w:tmpl w:val="6F140D28"/>
    <w:lvl w:ilvl="0" w:tentative="0">
      <w:start w:val="1"/>
      <w:numFmt w:val="chineseCounting"/>
      <w:suff w:val="nothing"/>
      <w:lvlText w:val="%1、"/>
      <w:lvlJc w:val="left"/>
      <w:pPr>
        <w:ind w:left="0" w:firstLine="420"/>
      </w:pPr>
      <w:rPr>
        <w:rFonts w:hint="eastAsia"/>
      </w:rPr>
    </w:lvl>
  </w:abstractNum>
  <w:abstractNum w:abstractNumId="76">
    <w:nsid w:val="718FA1E0"/>
    <w:multiLevelType w:val="singleLevel"/>
    <w:tmpl w:val="718FA1E0"/>
    <w:lvl w:ilvl="0" w:tentative="0">
      <w:start w:val="1"/>
      <w:numFmt w:val="decimalEnclosedCircleChinese"/>
      <w:suff w:val="nothing"/>
      <w:lvlText w:val="%1　"/>
      <w:lvlJc w:val="left"/>
      <w:pPr>
        <w:ind w:left="0" w:firstLine="400"/>
      </w:pPr>
      <w:rPr>
        <w:rFonts w:hint="eastAsia"/>
      </w:rPr>
    </w:lvl>
  </w:abstractNum>
  <w:abstractNum w:abstractNumId="77">
    <w:nsid w:val="7D4C19BB"/>
    <w:multiLevelType w:val="multilevel"/>
    <w:tmpl w:val="7D4C19BB"/>
    <w:lvl w:ilvl="0" w:tentative="0">
      <w:start w:val="1"/>
      <w:numFmt w:val="decimal"/>
      <w:lvlText w:val="（%1）"/>
      <w:lvlJc w:val="left"/>
      <w:pPr>
        <w:ind w:left="1249" w:hanging="420"/>
      </w:pPr>
      <w:rPr>
        <w:rFonts w:hint="eastAsia"/>
      </w:rPr>
    </w:lvl>
    <w:lvl w:ilvl="1" w:tentative="0">
      <w:start w:val="1"/>
      <w:numFmt w:val="decimal"/>
      <w:lvlText w:val="（%2）"/>
      <w:lvlJc w:val="left"/>
      <w:pPr>
        <w:ind w:left="6658" w:hanging="420"/>
      </w:pPr>
      <w:rPr>
        <w:rFonts w:hint="eastAsia"/>
      </w:rPr>
    </w:lvl>
    <w:lvl w:ilvl="2" w:tentative="0">
      <w:start w:val="1"/>
      <w:numFmt w:val="lowerRoman"/>
      <w:lvlText w:val="%3."/>
      <w:lvlJc w:val="right"/>
      <w:pPr>
        <w:ind w:left="2089" w:hanging="420"/>
      </w:pPr>
    </w:lvl>
    <w:lvl w:ilvl="3" w:tentative="0">
      <w:start w:val="1"/>
      <w:numFmt w:val="decimal"/>
      <w:lvlText w:val="%4."/>
      <w:lvlJc w:val="left"/>
      <w:pPr>
        <w:ind w:left="2509" w:hanging="420"/>
      </w:pPr>
    </w:lvl>
    <w:lvl w:ilvl="4" w:tentative="0">
      <w:start w:val="1"/>
      <w:numFmt w:val="lowerLetter"/>
      <w:lvlText w:val="%5)"/>
      <w:lvlJc w:val="left"/>
      <w:pPr>
        <w:ind w:left="2929" w:hanging="420"/>
      </w:pPr>
    </w:lvl>
    <w:lvl w:ilvl="5" w:tentative="0">
      <w:start w:val="1"/>
      <w:numFmt w:val="lowerRoman"/>
      <w:lvlText w:val="%6."/>
      <w:lvlJc w:val="right"/>
      <w:pPr>
        <w:ind w:left="3349" w:hanging="420"/>
      </w:pPr>
    </w:lvl>
    <w:lvl w:ilvl="6" w:tentative="0">
      <w:start w:val="1"/>
      <w:numFmt w:val="decimal"/>
      <w:lvlText w:val="%7."/>
      <w:lvlJc w:val="left"/>
      <w:pPr>
        <w:ind w:left="3769" w:hanging="420"/>
      </w:pPr>
    </w:lvl>
    <w:lvl w:ilvl="7" w:tentative="0">
      <w:start w:val="1"/>
      <w:numFmt w:val="lowerLetter"/>
      <w:lvlText w:val="%8)"/>
      <w:lvlJc w:val="left"/>
      <w:pPr>
        <w:ind w:left="4189" w:hanging="420"/>
      </w:pPr>
    </w:lvl>
    <w:lvl w:ilvl="8" w:tentative="0">
      <w:start w:val="1"/>
      <w:numFmt w:val="lowerRoman"/>
      <w:lvlText w:val="%9."/>
      <w:lvlJc w:val="right"/>
      <w:pPr>
        <w:ind w:left="4609" w:hanging="420"/>
      </w:pPr>
    </w:lvl>
  </w:abstractNum>
  <w:abstractNum w:abstractNumId="78">
    <w:nsid w:val="7D8408F2"/>
    <w:multiLevelType w:val="singleLevel"/>
    <w:tmpl w:val="7D8408F2"/>
    <w:lvl w:ilvl="0" w:tentative="0">
      <w:start w:val="1"/>
      <w:numFmt w:val="lowerLetter"/>
      <w:lvlText w:val="%1."/>
      <w:lvlJc w:val="left"/>
      <w:pPr>
        <w:ind w:left="425" w:hanging="425"/>
      </w:pPr>
      <w:rPr>
        <w:rFonts w:hint="default"/>
      </w:rPr>
    </w:lvl>
  </w:abstractNum>
  <w:num w:numId="1">
    <w:abstractNumId w:val="45"/>
  </w:num>
  <w:num w:numId="2">
    <w:abstractNumId w:val="65"/>
  </w:num>
  <w:num w:numId="3">
    <w:abstractNumId w:val="52"/>
  </w:num>
  <w:num w:numId="4">
    <w:abstractNumId w:val="58"/>
  </w:num>
  <w:num w:numId="5">
    <w:abstractNumId w:val="16"/>
  </w:num>
  <w:num w:numId="6">
    <w:abstractNumId w:val="51"/>
  </w:num>
  <w:num w:numId="7">
    <w:abstractNumId w:val="23"/>
  </w:num>
  <w:num w:numId="8">
    <w:abstractNumId w:val="56"/>
  </w:num>
  <w:num w:numId="9">
    <w:abstractNumId w:val="43"/>
  </w:num>
  <w:num w:numId="10">
    <w:abstractNumId w:val="34"/>
  </w:num>
  <w:num w:numId="11">
    <w:abstractNumId w:val="24"/>
  </w:num>
  <w:num w:numId="12">
    <w:abstractNumId w:val="64"/>
  </w:num>
  <w:num w:numId="13">
    <w:abstractNumId w:val="39"/>
  </w:num>
  <w:num w:numId="14">
    <w:abstractNumId w:val="41"/>
  </w:num>
  <w:num w:numId="15">
    <w:abstractNumId w:val="29"/>
  </w:num>
  <w:num w:numId="16">
    <w:abstractNumId w:val="0"/>
  </w:num>
  <w:num w:numId="17">
    <w:abstractNumId w:val="20"/>
  </w:num>
  <w:num w:numId="18">
    <w:abstractNumId w:val="72"/>
  </w:num>
  <w:num w:numId="19">
    <w:abstractNumId w:val="42"/>
  </w:num>
  <w:num w:numId="20">
    <w:abstractNumId w:val="67"/>
  </w:num>
  <w:num w:numId="21">
    <w:abstractNumId w:val="19"/>
  </w:num>
  <w:num w:numId="22">
    <w:abstractNumId w:val="47"/>
  </w:num>
  <w:num w:numId="23">
    <w:abstractNumId w:val="11"/>
  </w:num>
  <w:num w:numId="24">
    <w:abstractNumId w:val="68"/>
  </w:num>
  <w:num w:numId="25">
    <w:abstractNumId w:val="50"/>
  </w:num>
  <w:num w:numId="26">
    <w:abstractNumId w:val="60"/>
  </w:num>
  <w:num w:numId="27">
    <w:abstractNumId w:val="63"/>
  </w:num>
  <w:num w:numId="28">
    <w:abstractNumId w:val="15"/>
  </w:num>
  <w:num w:numId="29">
    <w:abstractNumId w:val="10"/>
  </w:num>
  <w:num w:numId="30">
    <w:abstractNumId w:val="35"/>
  </w:num>
  <w:num w:numId="31">
    <w:abstractNumId w:val="73"/>
  </w:num>
  <w:num w:numId="32">
    <w:abstractNumId w:val="48"/>
  </w:num>
  <w:num w:numId="33">
    <w:abstractNumId w:val="49"/>
  </w:num>
  <w:num w:numId="34">
    <w:abstractNumId w:val="62"/>
  </w:num>
  <w:num w:numId="35">
    <w:abstractNumId w:val="59"/>
  </w:num>
  <w:num w:numId="36">
    <w:abstractNumId w:val="61"/>
  </w:num>
  <w:num w:numId="37">
    <w:abstractNumId w:val="33"/>
  </w:num>
  <w:num w:numId="38">
    <w:abstractNumId w:val="30"/>
  </w:num>
  <w:num w:numId="39">
    <w:abstractNumId w:val="54"/>
  </w:num>
  <w:num w:numId="40">
    <w:abstractNumId w:val="8"/>
  </w:num>
  <w:num w:numId="41">
    <w:abstractNumId w:val="44"/>
  </w:num>
  <w:num w:numId="42">
    <w:abstractNumId w:val="26"/>
  </w:num>
  <w:num w:numId="43">
    <w:abstractNumId w:val="7"/>
  </w:num>
  <w:num w:numId="44">
    <w:abstractNumId w:val="14"/>
  </w:num>
  <w:num w:numId="45">
    <w:abstractNumId w:val="9"/>
  </w:num>
  <w:num w:numId="46">
    <w:abstractNumId w:val="57"/>
  </w:num>
  <w:num w:numId="47">
    <w:abstractNumId w:val="17"/>
  </w:num>
  <w:num w:numId="48">
    <w:abstractNumId w:val="74"/>
  </w:num>
  <w:num w:numId="49">
    <w:abstractNumId w:val="31"/>
  </w:num>
  <w:num w:numId="50">
    <w:abstractNumId w:val="22"/>
  </w:num>
  <w:num w:numId="51">
    <w:abstractNumId w:val="5"/>
  </w:num>
  <w:num w:numId="52">
    <w:abstractNumId w:val="40"/>
  </w:num>
  <w:num w:numId="53">
    <w:abstractNumId w:val="37"/>
  </w:num>
  <w:num w:numId="54">
    <w:abstractNumId w:val="25"/>
  </w:num>
  <w:num w:numId="55">
    <w:abstractNumId w:val="18"/>
  </w:num>
  <w:num w:numId="56">
    <w:abstractNumId w:val="12"/>
  </w:num>
  <w:num w:numId="57">
    <w:abstractNumId w:val="53"/>
  </w:num>
  <w:num w:numId="58">
    <w:abstractNumId w:val="38"/>
  </w:num>
  <w:num w:numId="59">
    <w:abstractNumId w:val="2"/>
  </w:num>
  <w:num w:numId="60">
    <w:abstractNumId w:val="66"/>
  </w:num>
  <w:num w:numId="61">
    <w:abstractNumId w:val="70"/>
  </w:num>
  <w:num w:numId="62">
    <w:abstractNumId w:val="46"/>
  </w:num>
  <w:num w:numId="63">
    <w:abstractNumId w:val="55"/>
  </w:num>
  <w:num w:numId="64">
    <w:abstractNumId w:val="69"/>
  </w:num>
  <w:num w:numId="65">
    <w:abstractNumId w:val="21"/>
  </w:num>
  <w:num w:numId="66">
    <w:abstractNumId w:val="1"/>
  </w:num>
  <w:num w:numId="67">
    <w:abstractNumId w:val="77"/>
  </w:num>
  <w:num w:numId="68">
    <w:abstractNumId w:val="36"/>
  </w:num>
  <w:num w:numId="69">
    <w:abstractNumId w:val="13"/>
  </w:num>
  <w:num w:numId="70">
    <w:abstractNumId w:val="71"/>
  </w:num>
  <w:num w:numId="71">
    <w:abstractNumId w:val="75"/>
  </w:num>
  <w:num w:numId="72">
    <w:abstractNumId w:val="4"/>
  </w:num>
  <w:num w:numId="73">
    <w:abstractNumId w:val="3"/>
  </w:num>
  <w:num w:numId="74">
    <w:abstractNumId w:val="32"/>
  </w:num>
  <w:num w:numId="75">
    <w:abstractNumId w:val="6"/>
  </w:num>
  <w:num w:numId="76">
    <w:abstractNumId w:val="78"/>
  </w:num>
  <w:num w:numId="77">
    <w:abstractNumId w:val="76"/>
  </w:num>
  <w:num w:numId="78">
    <w:abstractNumId w:val="27"/>
  </w:num>
  <w:num w:numId="7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Q5NTY4ZGZkMzMzNmQyZjE2MTMzYWNkNmNjODMifQ=="/>
  </w:docVars>
  <w:rsids>
    <w:rsidRoot w:val="00172A27"/>
    <w:rsid w:val="000001BA"/>
    <w:rsid w:val="00000D30"/>
    <w:rsid w:val="000036B1"/>
    <w:rsid w:val="00011EA6"/>
    <w:rsid w:val="00014632"/>
    <w:rsid w:val="00016939"/>
    <w:rsid w:val="00016A49"/>
    <w:rsid w:val="00016E22"/>
    <w:rsid w:val="000249FD"/>
    <w:rsid w:val="000264C9"/>
    <w:rsid w:val="000307EF"/>
    <w:rsid w:val="00032BFE"/>
    <w:rsid w:val="00035E2F"/>
    <w:rsid w:val="00041946"/>
    <w:rsid w:val="00042509"/>
    <w:rsid w:val="00045660"/>
    <w:rsid w:val="00046870"/>
    <w:rsid w:val="000478E1"/>
    <w:rsid w:val="00050724"/>
    <w:rsid w:val="000555E3"/>
    <w:rsid w:val="0006007F"/>
    <w:rsid w:val="000603A7"/>
    <w:rsid w:val="000609AA"/>
    <w:rsid w:val="0006143E"/>
    <w:rsid w:val="00061931"/>
    <w:rsid w:val="000634CC"/>
    <w:rsid w:val="00063A77"/>
    <w:rsid w:val="0006561A"/>
    <w:rsid w:val="00070398"/>
    <w:rsid w:val="0007273E"/>
    <w:rsid w:val="00073119"/>
    <w:rsid w:val="00075872"/>
    <w:rsid w:val="00075D0C"/>
    <w:rsid w:val="0007693B"/>
    <w:rsid w:val="000771A6"/>
    <w:rsid w:val="0008176D"/>
    <w:rsid w:val="000832EE"/>
    <w:rsid w:val="000842E4"/>
    <w:rsid w:val="00087420"/>
    <w:rsid w:val="00087DA8"/>
    <w:rsid w:val="00091003"/>
    <w:rsid w:val="0009264B"/>
    <w:rsid w:val="00093A84"/>
    <w:rsid w:val="00094B6E"/>
    <w:rsid w:val="000951C5"/>
    <w:rsid w:val="00096A5F"/>
    <w:rsid w:val="000A0493"/>
    <w:rsid w:val="000A16AD"/>
    <w:rsid w:val="000A6BA6"/>
    <w:rsid w:val="000B0F7B"/>
    <w:rsid w:val="000B1C0C"/>
    <w:rsid w:val="000B247E"/>
    <w:rsid w:val="000B2A89"/>
    <w:rsid w:val="000B79D6"/>
    <w:rsid w:val="000C06E2"/>
    <w:rsid w:val="000C187D"/>
    <w:rsid w:val="000C252E"/>
    <w:rsid w:val="000C3A34"/>
    <w:rsid w:val="000C4070"/>
    <w:rsid w:val="000D0520"/>
    <w:rsid w:val="000D2E3F"/>
    <w:rsid w:val="000E0221"/>
    <w:rsid w:val="000E2F32"/>
    <w:rsid w:val="000E4AEA"/>
    <w:rsid w:val="000E66B7"/>
    <w:rsid w:val="000F026F"/>
    <w:rsid w:val="000F4059"/>
    <w:rsid w:val="000F4BD4"/>
    <w:rsid w:val="000F6A1A"/>
    <w:rsid w:val="001006CD"/>
    <w:rsid w:val="00101FBD"/>
    <w:rsid w:val="00106544"/>
    <w:rsid w:val="001068A6"/>
    <w:rsid w:val="00106B4B"/>
    <w:rsid w:val="00112556"/>
    <w:rsid w:val="00117E94"/>
    <w:rsid w:val="00124B4D"/>
    <w:rsid w:val="00124B7B"/>
    <w:rsid w:val="00131D56"/>
    <w:rsid w:val="0013313C"/>
    <w:rsid w:val="00136560"/>
    <w:rsid w:val="00136BB5"/>
    <w:rsid w:val="00137176"/>
    <w:rsid w:val="00137F7B"/>
    <w:rsid w:val="00141252"/>
    <w:rsid w:val="00142C85"/>
    <w:rsid w:val="00143C60"/>
    <w:rsid w:val="00145DBE"/>
    <w:rsid w:val="00146EDF"/>
    <w:rsid w:val="00151EDF"/>
    <w:rsid w:val="00155E95"/>
    <w:rsid w:val="00156241"/>
    <w:rsid w:val="00160484"/>
    <w:rsid w:val="001610B5"/>
    <w:rsid w:val="00161BF0"/>
    <w:rsid w:val="00163C99"/>
    <w:rsid w:val="00165E34"/>
    <w:rsid w:val="001671BE"/>
    <w:rsid w:val="0016765E"/>
    <w:rsid w:val="00170F84"/>
    <w:rsid w:val="00172A27"/>
    <w:rsid w:val="001747F0"/>
    <w:rsid w:val="00174CA3"/>
    <w:rsid w:val="001768FE"/>
    <w:rsid w:val="001802E4"/>
    <w:rsid w:val="0018123E"/>
    <w:rsid w:val="001822B6"/>
    <w:rsid w:val="001827BF"/>
    <w:rsid w:val="00187540"/>
    <w:rsid w:val="00187AAC"/>
    <w:rsid w:val="001921F6"/>
    <w:rsid w:val="00192B7C"/>
    <w:rsid w:val="001A377E"/>
    <w:rsid w:val="001A4377"/>
    <w:rsid w:val="001A4C90"/>
    <w:rsid w:val="001A5D07"/>
    <w:rsid w:val="001A7385"/>
    <w:rsid w:val="001B21C3"/>
    <w:rsid w:val="001B37A0"/>
    <w:rsid w:val="001B5DE6"/>
    <w:rsid w:val="001D0145"/>
    <w:rsid w:val="001E20D9"/>
    <w:rsid w:val="001E76FE"/>
    <w:rsid w:val="001E7851"/>
    <w:rsid w:val="001F2480"/>
    <w:rsid w:val="001F2FE1"/>
    <w:rsid w:val="001F40A3"/>
    <w:rsid w:val="001F550A"/>
    <w:rsid w:val="001F5815"/>
    <w:rsid w:val="001F75B8"/>
    <w:rsid w:val="00200155"/>
    <w:rsid w:val="0020226C"/>
    <w:rsid w:val="0020261E"/>
    <w:rsid w:val="00202661"/>
    <w:rsid w:val="00204DF0"/>
    <w:rsid w:val="0020517F"/>
    <w:rsid w:val="00220E2B"/>
    <w:rsid w:val="00221050"/>
    <w:rsid w:val="002222FB"/>
    <w:rsid w:val="002224F0"/>
    <w:rsid w:val="0023045F"/>
    <w:rsid w:val="0023111A"/>
    <w:rsid w:val="00235B4B"/>
    <w:rsid w:val="00240AA4"/>
    <w:rsid w:val="002436E6"/>
    <w:rsid w:val="00243BD6"/>
    <w:rsid w:val="00244693"/>
    <w:rsid w:val="002476A7"/>
    <w:rsid w:val="00247C57"/>
    <w:rsid w:val="00252CE4"/>
    <w:rsid w:val="00253AFC"/>
    <w:rsid w:val="002565BC"/>
    <w:rsid w:val="00257B23"/>
    <w:rsid w:val="0026019C"/>
    <w:rsid w:val="00261B47"/>
    <w:rsid w:val="00267237"/>
    <w:rsid w:val="00274F6F"/>
    <w:rsid w:val="00275FB1"/>
    <w:rsid w:val="00281263"/>
    <w:rsid w:val="002855AD"/>
    <w:rsid w:val="00285CFD"/>
    <w:rsid w:val="00285D2B"/>
    <w:rsid w:val="00293D64"/>
    <w:rsid w:val="00293DD5"/>
    <w:rsid w:val="00294A0C"/>
    <w:rsid w:val="0029775C"/>
    <w:rsid w:val="002A0392"/>
    <w:rsid w:val="002A0DD7"/>
    <w:rsid w:val="002A18A0"/>
    <w:rsid w:val="002B1F4E"/>
    <w:rsid w:val="002B5456"/>
    <w:rsid w:val="002B5C9E"/>
    <w:rsid w:val="002B7E4C"/>
    <w:rsid w:val="002C2652"/>
    <w:rsid w:val="002C31DE"/>
    <w:rsid w:val="002C428F"/>
    <w:rsid w:val="002C44A6"/>
    <w:rsid w:val="002C540B"/>
    <w:rsid w:val="002D12BD"/>
    <w:rsid w:val="002E174B"/>
    <w:rsid w:val="002E26AE"/>
    <w:rsid w:val="002E4874"/>
    <w:rsid w:val="002E57AF"/>
    <w:rsid w:val="002E651A"/>
    <w:rsid w:val="002E6960"/>
    <w:rsid w:val="002F02AF"/>
    <w:rsid w:val="002F0C80"/>
    <w:rsid w:val="002F0D7A"/>
    <w:rsid w:val="002F3A91"/>
    <w:rsid w:val="002F4D28"/>
    <w:rsid w:val="00301722"/>
    <w:rsid w:val="0030349F"/>
    <w:rsid w:val="0030532D"/>
    <w:rsid w:val="00305E20"/>
    <w:rsid w:val="00306522"/>
    <w:rsid w:val="003079D4"/>
    <w:rsid w:val="00307F92"/>
    <w:rsid w:val="003108C2"/>
    <w:rsid w:val="00313EE1"/>
    <w:rsid w:val="00315986"/>
    <w:rsid w:val="00321F00"/>
    <w:rsid w:val="00322715"/>
    <w:rsid w:val="00330EAA"/>
    <w:rsid w:val="003352D3"/>
    <w:rsid w:val="003405B3"/>
    <w:rsid w:val="00341C3F"/>
    <w:rsid w:val="003430A1"/>
    <w:rsid w:val="003457D8"/>
    <w:rsid w:val="00346BB5"/>
    <w:rsid w:val="0034766B"/>
    <w:rsid w:val="0035069A"/>
    <w:rsid w:val="00350877"/>
    <w:rsid w:val="00354451"/>
    <w:rsid w:val="0035463F"/>
    <w:rsid w:val="0036050F"/>
    <w:rsid w:val="003632FE"/>
    <w:rsid w:val="00364051"/>
    <w:rsid w:val="00364845"/>
    <w:rsid w:val="00364D12"/>
    <w:rsid w:val="0036615D"/>
    <w:rsid w:val="003705CC"/>
    <w:rsid w:val="00371B32"/>
    <w:rsid w:val="003733B4"/>
    <w:rsid w:val="00374C25"/>
    <w:rsid w:val="00375624"/>
    <w:rsid w:val="0038040D"/>
    <w:rsid w:val="00387A17"/>
    <w:rsid w:val="00391E49"/>
    <w:rsid w:val="003926CF"/>
    <w:rsid w:val="00397B85"/>
    <w:rsid w:val="003A4A3D"/>
    <w:rsid w:val="003A4B0E"/>
    <w:rsid w:val="003A5802"/>
    <w:rsid w:val="003A6419"/>
    <w:rsid w:val="003A7119"/>
    <w:rsid w:val="003B1A2B"/>
    <w:rsid w:val="003B3CAC"/>
    <w:rsid w:val="003B4637"/>
    <w:rsid w:val="003C027C"/>
    <w:rsid w:val="003C2BB1"/>
    <w:rsid w:val="003C4A4A"/>
    <w:rsid w:val="003C4D9C"/>
    <w:rsid w:val="003C6009"/>
    <w:rsid w:val="003D1BE5"/>
    <w:rsid w:val="003D2CE0"/>
    <w:rsid w:val="003D2DEC"/>
    <w:rsid w:val="003D2E19"/>
    <w:rsid w:val="003D3843"/>
    <w:rsid w:val="003D71B5"/>
    <w:rsid w:val="003E03E8"/>
    <w:rsid w:val="003E1502"/>
    <w:rsid w:val="003E3518"/>
    <w:rsid w:val="003E5170"/>
    <w:rsid w:val="003E5846"/>
    <w:rsid w:val="003F0AB0"/>
    <w:rsid w:val="00401358"/>
    <w:rsid w:val="004014C4"/>
    <w:rsid w:val="00402601"/>
    <w:rsid w:val="004029D8"/>
    <w:rsid w:val="0040326F"/>
    <w:rsid w:val="004045EB"/>
    <w:rsid w:val="00405DB6"/>
    <w:rsid w:val="00411DD9"/>
    <w:rsid w:val="00413EC2"/>
    <w:rsid w:val="0042022C"/>
    <w:rsid w:val="004203C6"/>
    <w:rsid w:val="00420421"/>
    <w:rsid w:val="004236B7"/>
    <w:rsid w:val="004319CA"/>
    <w:rsid w:val="00432C1F"/>
    <w:rsid w:val="004349E3"/>
    <w:rsid w:val="00435CFC"/>
    <w:rsid w:val="00436719"/>
    <w:rsid w:val="00442268"/>
    <w:rsid w:val="00444982"/>
    <w:rsid w:val="004478B5"/>
    <w:rsid w:val="004514A9"/>
    <w:rsid w:val="004553FB"/>
    <w:rsid w:val="00462AED"/>
    <w:rsid w:val="00467116"/>
    <w:rsid w:val="0047097E"/>
    <w:rsid w:val="00471BAB"/>
    <w:rsid w:val="00472833"/>
    <w:rsid w:val="00472D69"/>
    <w:rsid w:val="00473CC9"/>
    <w:rsid w:val="00480755"/>
    <w:rsid w:val="004859C1"/>
    <w:rsid w:val="00486136"/>
    <w:rsid w:val="00490FB7"/>
    <w:rsid w:val="004916B4"/>
    <w:rsid w:val="00491B96"/>
    <w:rsid w:val="0049319F"/>
    <w:rsid w:val="004940C6"/>
    <w:rsid w:val="004941C1"/>
    <w:rsid w:val="00495BF0"/>
    <w:rsid w:val="00495EF8"/>
    <w:rsid w:val="004A2074"/>
    <w:rsid w:val="004A25F4"/>
    <w:rsid w:val="004A4606"/>
    <w:rsid w:val="004A7305"/>
    <w:rsid w:val="004B1AAC"/>
    <w:rsid w:val="004B2C57"/>
    <w:rsid w:val="004B5137"/>
    <w:rsid w:val="004B59E9"/>
    <w:rsid w:val="004B5A6F"/>
    <w:rsid w:val="004B5F82"/>
    <w:rsid w:val="004C0C2A"/>
    <w:rsid w:val="004C50C4"/>
    <w:rsid w:val="004C6157"/>
    <w:rsid w:val="004C72BF"/>
    <w:rsid w:val="004D2BF8"/>
    <w:rsid w:val="004D3A39"/>
    <w:rsid w:val="004D4DF3"/>
    <w:rsid w:val="004E0A0F"/>
    <w:rsid w:val="004E1AB2"/>
    <w:rsid w:val="004E42E9"/>
    <w:rsid w:val="004E4718"/>
    <w:rsid w:val="004E651E"/>
    <w:rsid w:val="004E6F8B"/>
    <w:rsid w:val="004E7B6B"/>
    <w:rsid w:val="004F3870"/>
    <w:rsid w:val="004F6031"/>
    <w:rsid w:val="004F61A3"/>
    <w:rsid w:val="004F7758"/>
    <w:rsid w:val="00506217"/>
    <w:rsid w:val="005078D0"/>
    <w:rsid w:val="0051124E"/>
    <w:rsid w:val="0051762C"/>
    <w:rsid w:val="005220EE"/>
    <w:rsid w:val="0052406D"/>
    <w:rsid w:val="0052420E"/>
    <w:rsid w:val="00525621"/>
    <w:rsid w:val="00525CC8"/>
    <w:rsid w:val="00526407"/>
    <w:rsid w:val="005277AF"/>
    <w:rsid w:val="00530123"/>
    <w:rsid w:val="00537D45"/>
    <w:rsid w:val="00541464"/>
    <w:rsid w:val="00541EE2"/>
    <w:rsid w:val="00543583"/>
    <w:rsid w:val="005439C5"/>
    <w:rsid w:val="00543E4E"/>
    <w:rsid w:val="00544204"/>
    <w:rsid w:val="00546C67"/>
    <w:rsid w:val="00546D34"/>
    <w:rsid w:val="00550BDD"/>
    <w:rsid w:val="005520C2"/>
    <w:rsid w:val="005538A9"/>
    <w:rsid w:val="00557F16"/>
    <w:rsid w:val="005611DF"/>
    <w:rsid w:val="00561D7F"/>
    <w:rsid w:val="005669EE"/>
    <w:rsid w:val="00570D3D"/>
    <w:rsid w:val="00572778"/>
    <w:rsid w:val="00575E5F"/>
    <w:rsid w:val="00576CB1"/>
    <w:rsid w:val="00577381"/>
    <w:rsid w:val="00580353"/>
    <w:rsid w:val="00580524"/>
    <w:rsid w:val="00581657"/>
    <w:rsid w:val="0058591D"/>
    <w:rsid w:val="005866F7"/>
    <w:rsid w:val="00587982"/>
    <w:rsid w:val="00590CEF"/>
    <w:rsid w:val="00593923"/>
    <w:rsid w:val="00593A61"/>
    <w:rsid w:val="00597F54"/>
    <w:rsid w:val="005A0BD8"/>
    <w:rsid w:val="005A0CEF"/>
    <w:rsid w:val="005A25E7"/>
    <w:rsid w:val="005A2AFE"/>
    <w:rsid w:val="005A4632"/>
    <w:rsid w:val="005A5AA8"/>
    <w:rsid w:val="005A6443"/>
    <w:rsid w:val="005A6555"/>
    <w:rsid w:val="005B5CA1"/>
    <w:rsid w:val="005B6482"/>
    <w:rsid w:val="005B7557"/>
    <w:rsid w:val="005B796E"/>
    <w:rsid w:val="005C01DF"/>
    <w:rsid w:val="005C05A2"/>
    <w:rsid w:val="005C0A59"/>
    <w:rsid w:val="005C0CBB"/>
    <w:rsid w:val="005C1597"/>
    <w:rsid w:val="005C4067"/>
    <w:rsid w:val="005C50A9"/>
    <w:rsid w:val="005C5484"/>
    <w:rsid w:val="005D0298"/>
    <w:rsid w:val="005D0FE6"/>
    <w:rsid w:val="005D1C8C"/>
    <w:rsid w:val="005D4495"/>
    <w:rsid w:val="005D5439"/>
    <w:rsid w:val="005D7F5C"/>
    <w:rsid w:val="005E0C77"/>
    <w:rsid w:val="005E4A19"/>
    <w:rsid w:val="005E689F"/>
    <w:rsid w:val="005F1DAE"/>
    <w:rsid w:val="005F259D"/>
    <w:rsid w:val="005F3902"/>
    <w:rsid w:val="005F3AAE"/>
    <w:rsid w:val="005F4302"/>
    <w:rsid w:val="005F610D"/>
    <w:rsid w:val="005F66A9"/>
    <w:rsid w:val="005F79E7"/>
    <w:rsid w:val="00602033"/>
    <w:rsid w:val="006037D9"/>
    <w:rsid w:val="00604E7E"/>
    <w:rsid w:val="0060550E"/>
    <w:rsid w:val="00605564"/>
    <w:rsid w:val="00605748"/>
    <w:rsid w:val="00605F1B"/>
    <w:rsid w:val="0060672E"/>
    <w:rsid w:val="006106F3"/>
    <w:rsid w:val="0061336D"/>
    <w:rsid w:val="006155C8"/>
    <w:rsid w:val="0061728D"/>
    <w:rsid w:val="00620B0D"/>
    <w:rsid w:val="00623726"/>
    <w:rsid w:val="006238E8"/>
    <w:rsid w:val="00625D03"/>
    <w:rsid w:val="006270F0"/>
    <w:rsid w:val="00630C80"/>
    <w:rsid w:val="0063236A"/>
    <w:rsid w:val="006352D2"/>
    <w:rsid w:val="00641F7B"/>
    <w:rsid w:val="00643722"/>
    <w:rsid w:val="00645E21"/>
    <w:rsid w:val="00652B3A"/>
    <w:rsid w:val="00656374"/>
    <w:rsid w:val="0066647E"/>
    <w:rsid w:val="00666EB1"/>
    <w:rsid w:val="00667A98"/>
    <w:rsid w:val="00667B68"/>
    <w:rsid w:val="0067588D"/>
    <w:rsid w:val="00675CFA"/>
    <w:rsid w:val="00677046"/>
    <w:rsid w:val="0067722B"/>
    <w:rsid w:val="0068056C"/>
    <w:rsid w:val="0068731E"/>
    <w:rsid w:val="00693023"/>
    <w:rsid w:val="00693C26"/>
    <w:rsid w:val="006953F7"/>
    <w:rsid w:val="0069623D"/>
    <w:rsid w:val="00697678"/>
    <w:rsid w:val="006A1C13"/>
    <w:rsid w:val="006A20EB"/>
    <w:rsid w:val="006A2963"/>
    <w:rsid w:val="006A3301"/>
    <w:rsid w:val="006A6E9D"/>
    <w:rsid w:val="006B5126"/>
    <w:rsid w:val="006B520D"/>
    <w:rsid w:val="006B6B6F"/>
    <w:rsid w:val="006C36D1"/>
    <w:rsid w:val="006C3B75"/>
    <w:rsid w:val="006C460E"/>
    <w:rsid w:val="006C5F33"/>
    <w:rsid w:val="006D5F96"/>
    <w:rsid w:val="006E0B17"/>
    <w:rsid w:val="006E25ED"/>
    <w:rsid w:val="006E3421"/>
    <w:rsid w:val="006E4F43"/>
    <w:rsid w:val="006E5024"/>
    <w:rsid w:val="006F4097"/>
    <w:rsid w:val="00703186"/>
    <w:rsid w:val="00703315"/>
    <w:rsid w:val="00713515"/>
    <w:rsid w:val="007165CD"/>
    <w:rsid w:val="00717DEF"/>
    <w:rsid w:val="00723DA6"/>
    <w:rsid w:val="00725A7E"/>
    <w:rsid w:val="0073163D"/>
    <w:rsid w:val="00733BD3"/>
    <w:rsid w:val="00734963"/>
    <w:rsid w:val="007428C8"/>
    <w:rsid w:val="007441DA"/>
    <w:rsid w:val="0074770D"/>
    <w:rsid w:val="00747F2D"/>
    <w:rsid w:val="0075359C"/>
    <w:rsid w:val="0075375D"/>
    <w:rsid w:val="007548E9"/>
    <w:rsid w:val="00757252"/>
    <w:rsid w:val="007576F1"/>
    <w:rsid w:val="0075794F"/>
    <w:rsid w:val="00760238"/>
    <w:rsid w:val="00760720"/>
    <w:rsid w:val="007611F7"/>
    <w:rsid w:val="00761676"/>
    <w:rsid w:val="0076446F"/>
    <w:rsid w:val="00772079"/>
    <w:rsid w:val="00773B87"/>
    <w:rsid w:val="00781125"/>
    <w:rsid w:val="00781311"/>
    <w:rsid w:val="0078421D"/>
    <w:rsid w:val="007859E0"/>
    <w:rsid w:val="00793C55"/>
    <w:rsid w:val="00795637"/>
    <w:rsid w:val="007A0CE1"/>
    <w:rsid w:val="007A3E07"/>
    <w:rsid w:val="007A52CE"/>
    <w:rsid w:val="007A7088"/>
    <w:rsid w:val="007A7BFB"/>
    <w:rsid w:val="007B317A"/>
    <w:rsid w:val="007B345F"/>
    <w:rsid w:val="007B3B5A"/>
    <w:rsid w:val="007B48EE"/>
    <w:rsid w:val="007B6BC9"/>
    <w:rsid w:val="007B6C96"/>
    <w:rsid w:val="007C1AEE"/>
    <w:rsid w:val="007C37E4"/>
    <w:rsid w:val="007C3CB5"/>
    <w:rsid w:val="007C5D74"/>
    <w:rsid w:val="007D05C5"/>
    <w:rsid w:val="007D0820"/>
    <w:rsid w:val="007D2B6E"/>
    <w:rsid w:val="007D4DAA"/>
    <w:rsid w:val="007D57BD"/>
    <w:rsid w:val="007D7894"/>
    <w:rsid w:val="007E2A25"/>
    <w:rsid w:val="007E309C"/>
    <w:rsid w:val="007E488A"/>
    <w:rsid w:val="007E5544"/>
    <w:rsid w:val="007E5B56"/>
    <w:rsid w:val="007E6294"/>
    <w:rsid w:val="007E6D4E"/>
    <w:rsid w:val="007F0493"/>
    <w:rsid w:val="007F061C"/>
    <w:rsid w:val="007F091E"/>
    <w:rsid w:val="007F436B"/>
    <w:rsid w:val="007F503C"/>
    <w:rsid w:val="007F59A9"/>
    <w:rsid w:val="007F7373"/>
    <w:rsid w:val="00800DBB"/>
    <w:rsid w:val="00800E38"/>
    <w:rsid w:val="00801C81"/>
    <w:rsid w:val="00802054"/>
    <w:rsid w:val="00802807"/>
    <w:rsid w:val="00802BC3"/>
    <w:rsid w:val="00811B26"/>
    <w:rsid w:val="00812FFC"/>
    <w:rsid w:val="008203B5"/>
    <w:rsid w:val="00823172"/>
    <w:rsid w:val="00825375"/>
    <w:rsid w:val="008255FA"/>
    <w:rsid w:val="00834FAA"/>
    <w:rsid w:val="00835DEA"/>
    <w:rsid w:val="0084009B"/>
    <w:rsid w:val="00844D98"/>
    <w:rsid w:val="00845A70"/>
    <w:rsid w:val="008469F6"/>
    <w:rsid w:val="00847466"/>
    <w:rsid w:val="00851534"/>
    <w:rsid w:val="00851F94"/>
    <w:rsid w:val="00853104"/>
    <w:rsid w:val="0086271F"/>
    <w:rsid w:val="00862D34"/>
    <w:rsid w:val="00865188"/>
    <w:rsid w:val="00873489"/>
    <w:rsid w:val="0087540E"/>
    <w:rsid w:val="00875CF3"/>
    <w:rsid w:val="00880217"/>
    <w:rsid w:val="008814A8"/>
    <w:rsid w:val="00884C8F"/>
    <w:rsid w:val="00887D3E"/>
    <w:rsid w:val="008921F2"/>
    <w:rsid w:val="00893B42"/>
    <w:rsid w:val="00893C44"/>
    <w:rsid w:val="008A0D08"/>
    <w:rsid w:val="008A2502"/>
    <w:rsid w:val="008A2B09"/>
    <w:rsid w:val="008A3DA0"/>
    <w:rsid w:val="008A3DCD"/>
    <w:rsid w:val="008A42A1"/>
    <w:rsid w:val="008A528C"/>
    <w:rsid w:val="008B2D74"/>
    <w:rsid w:val="008B5D3A"/>
    <w:rsid w:val="008B6388"/>
    <w:rsid w:val="008B6FCB"/>
    <w:rsid w:val="008C1F1D"/>
    <w:rsid w:val="008D5618"/>
    <w:rsid w:val="008E0A03"/>
    <w:rsid w:val="008F1F12"/>
    <w:rsid w:val="008F6D4F"/>
    <w:rsid w:val="008F77B1"/>
    <w:rsid w:val="0090139E"/>
    <w:rsid w:val="00903529"/>
    <w:rsid w:val="009043E0"/>
    <w:rsid w:val="00905F40"/>
    <w:rsid w:val="009104CC"/>
    <w:rsid w:val="00910BC9"/>
    <w:rsid w:val="0091213B"/>
    <w:rsid w:val="00912F46"/>
    <w:rsid w:val="00913EE6"/>
    <w:rsid w:val="00914587"/>
    <w:rsid w:val="00916095"/>
    <w:rsid w:val="009208FE"/>
    <w:rsid w:val="00925A00"/>
    <w:rsid w:val="009337DB"/>
    <w:rsid w:val="00933EC1"/>
    <w:rsid w:val="00934759"/>
    <w:rsid w:val="00935BA8"/>
    <w:rsid w:val="00936B27"/>
    <w:rsid w:val="009370B7"/>
    <w:rsid w:val="009401A5"/>
    <w:rsid w:val="00940B1E"/>
    <w:rsid w:val="0094299D"/>
    <w:rsid w:val="00942E7A"/>
    <w:rsid w:val="009435B4"/>
    <w:rsid w:val="00944455"/>
    <w:rsid w:val="00944E77"/>
    <w:rsid w:val="009455F6"/>
    <w:rsid w:val="009468B9"/>
    <w:rsid w:val="009506D6"/>
    <w:rsid w:val="00951A52"/>
    <w:rsid w:val="00955D65"/>
    <w:rsid w:val="009561C3"/>
    <w:rsid w:val="009578F3"/>
    <w:rsid w:val="00960F27"/>
    <w:rsid w:val="00963730"/>
    <w:rsid w:val="009641B9"/>
    <w:rsid w:val="00967002"/>
    <w:rsid w:val="009726DD"/>
    <w:rsid w:val="009750C4"/>
    <w:rsid w:val="009761C6"/>
    <w:rsid w:val="009762D7"/>
    <w:rsid w:val="00980D03"/>
    <w:rsid w:val="00980D5F"/>
    <w:rsid w:val="00982378"/>
    <w:rsid w:val="00986FC3"/>
    <w:rsid w:val="009901B2"/>
    <w:rsid w:val="00994005"/>
    <w:rsid w:val="00995688"/>
    <w:rsid w:val="00996339"/>
    <w:rsid w:val="00996453"/>
    <w:rsid w:val="00996479"/>
    <w:rsid w:val="00996533"/>
    <w:rsid w:val="0099719A"/>
    <w:rsid w:val="009A07D1"/>
    <w:rsid w:val="009A0EDE"/>
    <w:rsid w:val="009A3325"/>
    <w:rsid w:val="009A522C"/>
    <w:rsid w:val="009B57FA"/>
    <w:rsid w:val="009B6325"/>
    <w:rsid w:val="009B6DCA"/>
    <w:rsid w:val="009C12BC"/>
    <w:rsid w:val="009C19AD"/>
    <w:rsid w:val="009C3C80"/>
    <w:rsid w:val="009C76F0"/>
    <w:rsid w:val="009C7B4B"/>
    <w:rsid w:val="009C7DAE"/>
    <w:rsid w:val="009D0ABE"/>
    <w:rsid w:val="009D177A"/>
    <w:rsid w:val="009D24B1"/>
    <w:rsid w:val="009D3157"/>
    <w:rsid w:val="009D33AE"/>
    <w:rsid w:val="009D5A42"/>
    <w:rsid w:val="009D726D"/>
    <w:rsid w:val="009D7895"/>
    <w:rsid w:val="009E00DD"/>
    <w:rsid w:val="009E38E2"/>
    <w:rsid w:val="009E56A1"/>
    <w:rsid w:val="009F02A2"/>
    <w:rsid w:val="009F04AF"/>
    <w:rsid w:val="009F06BD"/>
    <w:rsid w:val="009F381C"/>
    <w:rsid w:val="009F39FB"/>
    <w:rsid w:val="009F4419"/>
    <w:rsid w:val="009F44EE"/>
    <w:rsid w:val="009F4CAA"/>
    <w:rsid w:val="009F5921"/>
    <w:rsid w:val="00A0188D"/>
    <w:rsid w:val="00A02C00"/>
    <w:rsid w:val="00A02E57"/>
    <w:rsid w:val="00A05D0B"/>
    <w:rsid w:val="00A07541"/>
    <w:rsid w:val="00A11457"/>
    <w:rsid w:val="00A1593F"/>
    <w:rsid w:val="00A17CA0"/>
    <w:rsid w:val="00A25A4B"/>
    <w:rsid w:val="00A25AF1"/>
    <w:rsid w:val="00A269CA"/>
    <w:rsid w:val="00A308EC"/>
    <w:rsid w:val="00A31113"/>
    <w:rsid w:val="00A353D3"/>
    <w:rsid w:val="00A360E6"/>
    <w:rsid w:val="00A36F6B"/>
    <w:rsid w:val="00A3729C"/>
    <w:rsid w:val="00A376F5"/>
    <w:rsid w:val="00A4454D"/>
    <w:rsid w:val="00A44F45"/>
    <w:rsid w:val="00A450E8"/>
    <w:rsid w:val="00A47938"/>
    <w:rsid w:val="00A47CA0"/>
    <w:rsid w:val="00A51D4F"/>
    <w:rsid w:val="00A605DE"/>
    <w:rsid w:val="00A617E9"/>
    <w:rsid w:val="00A63303"/>
    <w:rsid w:val="00A657B7"/>
    <w:rsid w:val="00A6655D"/>
    <w:rsid w:val="00A66B8D"/>
    <w:rsid w:val="00A67BFF"/>
    <w:rsid w:val="00A67C47"/>
    <w:rsid w:val="00A7225B"/>
    <w:rsid w:val="00A72F97"/>
    <w:rsid w:val="00A7416D"/>
    <w:rsid w:val="00A7480E"/>
    <w:rsid w:val="00A754D4"/>
    <w:rsid w:val="00A756C1"/>
    <w:rsid w:val="00A76D0C"/>
    <w:rsid w:val="00A76F81"/>
    <w:rsid w:val="00A858B6"/>
    <w:rsid w:val="00A861FE"/>
    <w:rsid w:val="00A90F62"/>
    <w:rsid w:val="00A9263E"/>
    <w:rsid w:val="00A94AFB"/>
    <w:rsid w:val="00A96358"/>
    <w:rsid w:val="00AA0596"/>
    <w:rsid w:val="00AA3335"/>
    <w:rsid w:val="00AA473E"/>
    <w:rsid w:val="00AA4C48"/>
    <w:rsid w:val="00AA5904"/>
    <w:rsid w:val="00AA6689"/>
    <w:rsid w:val="00AB1107"/>
    <w:rsid w:val="00AB1229"/>
    <w:rsid w:val="00AB2E59"/>
    <w:rsid w:val="00AC00ED"/>
    <w:rsid w:val="00AC147F"/>
    <w:rsid w:val="00AC1C75"/>
    <w:rsid w:val="00AC3A0F"/>
    <w:rsid w:val="00AD0B45"/>
    <w:rsid w:val="00AD1FF8"/>
    <w:rsid w:val="00AE12B6"/>
    <w:rsid w:val="00AE25BE"/>
    <w:rsid w:val="00AE34AE"/>
    <w:rsid w:val="00AE4867"/>
    <w:rsid w:val="00AE6E5A"/>
    <w:rsid w:val="00AF17F1"/>
    <w:rsid w:val="00AF1C0F"/>
    <w:rsid w:val="00AF6531"/>
    <w:rsid w:val="00B03FF4"/>
    <w:rsid w:val="00B04350"/>
    <w:rsid w:val="00B04B37"/>
    <w:rsid w:val="00B07BC7"/>
    <w:rsid w:val="00B10812"/>
    <w:rsid w:val="00B12C72"/>
    <w:rsid w:val="00B136F0"/>
    <w:rsid w:val="00B13CFA"/>
    <w:rsid w:val="00B16795"/>
    <w:rsid w:val="00B179F2"/>
    <w:rsid w:val="00B17D0B"/>
    <w:rsid w:val="00B20101"/>
    <w:rsid w:val="00B22F6B"/>
    <w:rsid w:val="00B2454F"/>
    <w:rsid w:val="00B247B4"/>
    <w:rsid w:val="00B27343"/>
    <w:rsid w:val="00B3095B"/>
    <w:rsid w:val="00B31226"/>
    <w:rsid w:val="00B31BCB"/>
    <w:rsid w:val="00B32303"/>
    <w:rsid w:val="00B351A9"/>
    <w:rsid w:val="00B3685F"/>
    <w:rsid w:val="00B37391"/>
    <w:rsid w:val="00B41EB7"/>
    <w:rsid w:val="00B43D6A"/>
    <w:rsid w:val="00B4764B"/>
    <w:rsid w:val="00B5021A"/>
    <w:rsid w:val="00B50CF0"/>
    <w:rsid w:val="00B51963"/>
    <w:rsid w:val="00B51A35"/>
    <w:rsid w:val="00B51FD1"/>
    <w:rsid w:val="00B53301"/>
    <w:rsid w:val="00B539F1"/>
    <w:rsid w:val="00B569A2"/>
    <w:rsid w:val="00B625BC"/>
    <w:rsid w:val="00B63639"/>
    <w:rsid w:val="00B6551F"/>
    <w:rsid w:val="00B71261"/>
    <w:rsid w:val="00B7206A"/>
    <w:rsid w:val="00B72FEA"/>
    <w:rsid w:val="00B73371"/>
    <w:rsid w:val="00B73DAE"/>
    <w:rsid w:val="00B75362"/>
    <w:rsid w:val="00B75E49"/>
    <w:rsid w:val="00B80EF2"/>
    <w:rsid w:val="00B81E70"/>
    <w:rsid w:val="00B827B2"/>
    <w:rsid w:val="00B8403C"/>
    <w:rsid w:val="00BA3E8A"/>
    <w:rsid w:val="00BB246F"/>
    <w:rsid w:val="00BB7852"/>
    <w:rsid w:val="00BC2568"/>
    <w:rsid w:val="00BC48EA"/>
    <w:rsid w:val="00BC5562"/>
    <w:rsid w:val="00BD2C62"/>
    <w:rsid w:val="00BD383D"/>
    <w:rsid w:val="00BE0C51"/>
    <w:rsid w:val="00BF2E6F"/>
    <w:rsid w:val="00BF31B6"/>
    <w:rsid w:val="00BF3210"/>
    <w:rsid w:val="00C0083E"/>
    <w:rsid w:val="00C0497F"/>
    <w:rsid w:val="00C04CC0"/>
    <w:rsid w:val="00C20255"/>
    <w:rsid w:val="00C21185"/>
    <w:rsid w:val="00C221D9"/>
    <w:rsid w:val="00C24451"/>
    <w:rsid w:val="00C25D09"/>
    <w:rsid w:val="00C31974"/>
    <w:rsid w:val="00C347B9"/>
    <w:rsid w:val="00C34964"/>
    <w:rsid w:val="00C34966"/>
    <w:rsid w:val="00C3721C"/>
    <w:rsid w:val="00C40128"/>
    <w:rsid w:val="00C40274"/>
    <w:rsid w:val="00C43D6C"/>
    <w:rsid w:val="00C44EFC"/>
    <w:rsid w:val="00C47AD7"/>
    <w:rsid w:val="00C47C6D"/>
    <w:rsid w:val="00C51F6A"/>
    <w:rsid w:val="00C5790F"/>
    <w:rsid w:val="00C611C1"/>
    <w:rsid w:val="00C6297E"/>
    <w:rsid w:val="00C63759"/>
    <w:rsid w:val="00C74171"/>
    <w:rsid w:val="00C74F7A"/>
    <w:rsid w:val="00C773C0"/>
    <w:rsid w:val="00C80E1F"/>
    <w:rsid w:val="00C81BAD"/>
    <w:rsid w:val="00C81C66"/>
    <w:rsid w:val="00C82299"/>
    <w:rsid w:val="00C834B5"/>
    <w:rsid w:val="00C83FB5"/>
    <w:rsid w:val="00C8438A"/>
    <w:rsid w:val="00C85C22"/>
    <w:rsid w:val="00C87F68"/>
    <w:rsid w:val="00C90C23"/>
    <w:rsid w:val="00C916C2"/>
    <w:rsid w:val="00C92A04"/>
    <w:rsid w:val="00C934C9"/>
    <w:rsid w:val="00C945BD"/>
    <w:rsid w:val="00C94814"/>
    <w:rsid w:val="00CA1815"/>
    <w:rsid w:val="00CA28ED"/>
    <w:rsid w:val="00CA33D2"/>
    <w:rsid w:val="00CA3933"/>
    <w:rsid w:val="00CA3D2D"/>
    <w:rsid w:val="00CA53B0"/>
    <w:rsid w:val="00CA5A36"/>
    <w:rsid w:val="00CA730D"/>
    <w:rsid w:val="00CB2690"/>
    <w:rsid w:val="00CB31B3"/>
    <w:rsid w:val="00CB39E8"/>
    <w:rsid w:val="00CB4546"/>
    <w:rsid w:val="00CB4E63"/>
    <w:rsid w:val="00CB5AAC"/>
    <w:rsid w:val="00CB5FEC"/>
    <w:rsid w:val="00CB7491"/>
    <w:rsid w:val="00CC3132"/>
    <w:rsid w:val="00CC4AC2"/>
    <w:rsid w:val="00CC55F0"/>
    <w:rsid w:val="00CC5FF5"/>
    <w:rsid w:val="00CC68AF"/>
    <w:rsid w:val="00CC787B"/>
    <w:rsid w:val="00CD31A4"/>
    <w:rsid w:val="00CD38A3"/>
    <w:rsid w:val="00CD514E"/>
    <w:rsid w:val="00CE0E0D"/>
    <w:rsid w:val="00CE1ADE"/>
    <w:rsid w:val="00CE1FF1"/>
    <w:rsid w:val="00CE344A"/>
    <w:rsid w:val="00CF00A4"/>
    <w:rsid w:val="00CF0A7A"/>
    <w:rsid w:val="00CF0DD4"/>
    <w:rsid w:val="00CF64F4"/>
    <w:rsid w:val="00CF7549"/>
    <w:rsid w:val="00CF76B3"/>
    <w:rsid w:val="00D019F4"/>
    <w:rsid w:val="00D06AFA"/>
    <w:rsid w:val="00D111F5"/>
    <w:rsid w:val="00D12421"/>
    <w:rsid w:val="00D12CC6"/>
    <w:rsid w:val="00D13AD2"/>
    <w:rsid w:val="00D14158"/>
    <w:rsid w:val="00D209E7"/>
    <w:rsid w:val="00D2203D"/>
    <w:rsid w:val="00D27AF0"/>
    <w:rsid w:val="00D37C70"/>
    <w:rsid w:val="00D41F26"/>
    <w:rsid w:val="00D42DB0"/>
    <w:rsid w:val="00D432D2"/>
    <w:rsid w:val="00D45695"/>
    <w:rsid w:val="00D517D2"/>
    <w:rsid w:val="00D522EC"/>
    <w:rsid w:val="00D53699"/>
    <w:rsid w:val="00D54F3A"/>
    <w:rsid w:val="00D54FF9"/>
    <w:rsid w:val="00D560C6"/>
    <w:rsid w:val="00D566DC"/>
    <w:rsid w:val="00D618CB"/>
    <w:rsid w:val="00D629B8"/>
    <w:rsid w:val="00D63C96"/>
    <w:rsid w:val="00D72625"/>
    <w:rsid w:val="00D732E3"/>
    <w:rsid w:val="00D73FE6"/>
    <w:rsid w:val="00D749ED"/>
    <w:rsid w:val="00D74CD8"/>
    <w:rsid w:val="00D77677"/>
    <w:rsid w:val="00D8010E"/>
    <w:rsid w:val="00D80398"/>
    <w:rsid w:val="00D80B4B"/>
    <w:rsid w:val="00D81B5C"/>
    <w:rsid w:val="00D84824"/>
    <w:rsid w:val="00D8518F"/>
    <w:rsid w:val="00D86420"/>
    <w:rsid w:val="00D87D4A"/>
    <w:rsid w:val="00D92EAC"/>
    <w:rsid w:val="00D943B5"/>
    <w:rsid w:val="00D96498"/>
    <w:rsid w:val="00DA02AD"/>
    <w:rsid w:val="00DA3116"/>
    <w:rsid w:val="00DA5CE0"/>
    <w:rsid w:val="00DA6CAE"/>
    <w:rsid w:val="00DA7673"/>
    <w:rsid w:val="00DB6FCC"/>
    <w:rsid w:val="00DB734B"/>
    <w:rsid w:val="00DB7CC2"/>
    <w:rsid w:val="00DC21B9"/>
    <w:rsid w:val="00DC243E"/>
    <w:rsid w:val="00DD0E30"/>
    <w:rsid w:val="00DD50B0"/>
    <w:rsid w:val="00DE1769"/>
    <w:rsid w:val="00DE3CA5"/>
    <w:rsid w:val="00DE4411"/>
    <w:rsid w:val="00DE5159"/>
    <w:rsid w:val="00DE6BB2"/>
    <w:rsid w:val="00DE777A"/>
    <w:rsid w:val="00DF0D7C"/>
    <w:rsid w:val="00DF10D4"/>
    <w:rsid w:val="00DF16BE"/>
    <w:rsid w:val="00DF234F"/>
    <w:rsid w:val="00DF5068"/>
    <w:rsid w:val="00DF56B2"/>
    <w:rsid w:val="00DF66CD"/>
    <w:rsid w:val="00E05277"/>
    <w:rsid w:val="00E06527"/>
    <w:rsid w:val="00E06DC3"/>
    <w:rsid w:val="00E06E36"/>
    <w:rsid w:val="00E13824"/>
    <w:rsid w:val="00E13A42"/>
    <w:rsid w:val="00E13DAB"/>
    <w:rsid w:val="00E150A2"/>
    <w:rsid w:val="00E25A37"/>
    <w:rsid w:val="00E31420"/>
    <w:rsid w:val="00E32EA8"/>
    <w:rsid w:val="00E3324A"/>
    <w:rsid w:val="00E35382"/>
    <w:rsid w:val="00E3705A"/>
    <w:rsid w:val="00E417CA"/>
    <w:rsid w:val="00E44240"/>
    <w:rsid w:val="00E46B88"/>
    <w:rsid w:val="00E52DB6"/>
    <w:rsid w:val="00E541C0"/>
    <w:rsid w:val="00E545A5"/>
    <w:rsid w:val="00E54E08"/>
    <w:rsid w:val="00E55219"/>
    <w:rsid w:val="00E562EF"/>
    <w:rsid w:val="00E565AB"/>
    <w:rsid w:val="00E60AD1"/>
    <w:rsid w:val="00E62952"/>
    <w:rsid w:val="00E66F08"/>
    <w:rsid w:val="00E66F76"/>
    <w:rsid w:val="00E671D1"/>
    <w:rsid w:val="00E711F1"/>
    <w:rsid w:val="00E73459"/>
    <w:rsid w:val="00E73BA7"/>
    <w:rsid w:val="00E74A9C"/>
    <w:rsid w:val="00E7541C"/>
    <w:rsid w:val="00E75B26"/>
    <w:rsid w:val="00E769D8"/>
    <w:rsid w:val="00E76E13"/>
    <w:rsid w:val="00E80B25"/>
    <w:rsid w:val="00E816D8"/>
    <w:rsid w:val="00E833D4"/>
    <w:rsid w:val="00E90684"/>
    <w:rsid w:val="00E90C43"/>
    <w:rsid w:val="00E93B81"/>
    <w:rsid w:val="00E94868"/>
    <w:rsid w:val="00E9545D"/>
    <w:rsid w:val="00E96622"/>
    <w:rsid w:val="00EA0BAF"/>
    <w:rsid w:val="00EA2FA6"/>
    <w:rsid w:val="00EA3A4D"/>
    <w:rsid w:val="00EA3FEC"/>
    <w:rsid w:val="00EA5BCC"/>
    <w:rsid w:val="00EA5F3F"/>
    <w:rsid w:val="00EB0504"/>
    <w:rsid w:val="00EB246C"/>
    <w:rsid w:val="00EB2BC9"/>
    <w:rsid w:val="00EC05AA"/>
    <w:rsid w:val="00EC2E88"/>
    <w:rsid w:val="00EC4284"/>
    <w:rsid w:val="00EC6E0A"/>
    <w:rsid w:val="00EC7766"/>
    <w:rsid w:val="00EC79B3"/>
    <w:rsid w:val="00ED111D"/>
    <w:rsid w:val="00ED4CCB"/>
    <w:rsid w:val="00ED73AC"/>
    <w:rsid w:val="00EE0445"/>
    <w:rsid w:val="00EE1F3B"/>
    <w:rsid w:val="00EE2357"/>
    <w:rsid w:val="00EE2FBA"/>
    <w:rsid w:val="00EE47A6"/>
    <w:rsid w:val="00EE6401"/>
    <w:rsid w:val="00EF3269"/>
    <w:rsid w:val="00EF3524"/>
    <w:rsid w:val="00EF3A08"/>
    <w:rsid w:val="00EF446C"/>
    <w:rsid w:val="00EF520F"/>
    <w:rsid w:val="00EF6CFD"/>
    <w:rsid w:val="00EF77F7"/>
    <w:rsid w:val="00F002FD"/>
    <w:rsid w:val="00F02367"/>
    <w:rsid w:val="00F02516"/>
    <w:rsid w:val="00F029AF"/>
    <w:rsid w:val="00F12215"/>
    <w:rsid w:val="00F130CE"/>
    <w:rsid w:val="00F16438"/>
    <w:rsid w:val="00F16918"/>
    <w:rsid w:val="00F20A2B"/>
    <w:rsid w:val="00F23822"/>
    <w:rsid w:val="00F23BF9"/>
    <w:rsid w:val="00F24D4C"/>
    <w:rsid w:val="00F31DC3"/>
    <w:rsid w:val="00F33620"/>
    <w:rsid w:val="00F33FE1"/>
    <w:rsid w:val="00F34324"/>
    <w:rsid w:val="00F35D44"/>
    <w:rsid w:val="00F44104"/>
    <w:rsid w:val="00F47F57"/>
    <w:rsid w:val="00F524F6"/>
    <w:rsid w:val="00F526E7"/>
    <w:rsid w:val="00F52768"/>
    <w:rsid w:val="00F53C67"/>
    <w:rsid w:val="00F53E2F"/>
    <w:rsid w:val="00F54305"/>
    <w:rsid w:val="00F559BE"/>
    <w:rsid w:val="00F57569"/>
    <w:rsid w:val="00F60AE6"/>
    <w:rsid w:val="00F60FD7"/>
    <w:rsid w:val="00F621DF"/>
    <w:rsid w:val="00F6688D"/>
    <w:rsid w:val="00F67B26"/>
    <w:rsid w:val="00F70275"/>
    <w:rsid w:val="00F70EF7"/>
    <w:rsid w:val="00F718C1"/>
    <w:rsid w:val="00F71B10"/>
    <w:rsid w:val="00F71D63"/>
    <w:rsid w:val="00F756FB"/>
    <w:rsid w:val="00F82BB2"/>
    <w:rsid w:val="00F84333"/>
    <w:rsid w:val="00F864B1"/>
    <w:rsid w:val="00F9133C"/>
    <w:rsid w:val="00F92E60"/>
    <w:rsid w:val="00F94C36"/>
    <w:rsid w:val="00F95973"/>
    <w:rsid w:val="00F97065"/>
    <w:rsid w:val="00FA1C28"/>
    <w:rsid w:val="00FA4D28"/>
    <w:rsid w:val="00FA4E13"/>
    <w:rsid w:val="00FA7534"/>
    <w:rsid w:val="00FA7582"/>
    <w:rsid w:val="00FB03F3"/>
    <w:rsid w:val="00FB2D75"/>
    <w:rsid w:val="00FB50E4"/>
    <w:rsid w:val="00FC16BC"/>
    <w:rsid w:val="00FC1E69"/>
    <w:rsid w:val="00FC2E5C"/>
    <w:rsid w:val="00FC5524"/>
    <w:rsid w:val="00FC7414"/>
    <w:rsid w:val="00FC756E"/>
    <w:rsid w:val="00FD0BD9"/>
    <w:rsid w:val="00FD10FF"/>
    <w:rsid w:val="00FD12DC"/>
    <w:rsid w:val="00FD6DC0"/>
    <w:rsid w:val="00FD798A"/>
    <w:rsid w:val="00FE3077"/>
    <w:rsid w:val="00FE4A04"/>
    <w:rsid w:val="00FE5EDE"/>
    <w:rsid w:val="00FE6403"/>
    <w:rsid w:val="00FE64B6"/>
    <w:rsid w:val="00FF1C44"/>
    <w:rsid w:val="00FF6673"/>
    <w:rsid w:val="00FF6F7D"/>
    <w:rsid w:val="00FF70C5"/>
    <w:rsid w:val="00FF73B2"/>
    <w:rsid w:val="012167BB"/>
    <w:rsid w:val="01317F69"/>
    <w:rsid w:val="013B256D"/>
    <w:rsid w:val="0153743B"/>
    <w:rsid w:val="015B3238"/>
    <w:rsid w:val="017D33A5"/>
    <w:rsid w:val="01950A28"/>
    <w:rsid w:val="01A220F5"/>
    <w:rsid w:val="01A43312"/>
    <w:rsid w:val="02125B9D"/>
    <w:rsid w:val="02282DFC"/>
    <w:rsid w:val="0250292C"/>
    <w:rsid w:val="03964720"/>
    <w:rsid w:val="0397552A"/>
    <w:rsid w:val="03B94210"/>
    <w:rsid w:val="03BC36EC"/>
    <w:rsid w:val="0453281E"/>
    <w:rsid w:val="046006A8"/>
    <w:rsid w:val="04765B63"/>
    <w:rsid w:val="047700A4"/>
    <w:rsid w:val="04C542B0"/>
    <w:rsid w:val="04E06FFD"/>
    <w:rsid w:val="04E61BBB"/>
    <w:rsid w:val="04F57FC3"/>
    <w:rsid w:val="05465B04"/>
    <w:rsid w:val="056F18F6"/>
    <w:rsid w:val="057A404A"/>
    <w:rsid w:val="0596018D"/>
    <w:rsid w:val="05B50B3D"/>
    <w:rsid w:val="0660581C"/>
    <w:rsid w:val="06DD024B"/>
    <w:rsid w:val="06F10FBF"/>
    <w:rsid w:val="074A7E80"/>
    <w:rsid w:val="077E47A3"/>
    <w:rsid w:val="078D0E09"/>
    <w:rsid w:val="07936CCE"/>
    <w:rsid w:val="07DE7C1F"/>
    <w:rsid w:val="08007C2D"/>
    <w:rsid w:val="081866AA"/>
    <w:rsid w:val="081F4846"/>
    <w:rsid w:val="085203DD"/>
    <w:rsid w:val="08B15C16"/>
    <w:rsid w:val="08DE7BAB"/>
    <w:rsid w:val="08E90823"/>
    <w:rsid w:val="0901547B"/>
    <w:rsid w:val="09077801"/>
    <w:rsid w:val="09143DF5"/>
    <w:rsid w:val="091468EE"/>
    <w:rsid w:val="09343CE7"/>
    <w:rsid w:val="093E092E"/>
    <w:rsid w:val="09400B73"/>
    <w:rsid w:val="0942340D"/>
    <w:rsid w:val="09524102"/>
    <w:rsid w:val="0983322D"/>
    <w:rsid w:val="09A72D53"/>
    <w:rsid w:val="09AD04AE"/>
    <w:rsid w:val="09BC1AF8"/>
    <w:rsid w:val="09C123E0"/>
    <w:rsid w:val="09CE693B"/>
    <w:rsid w:val="0A1134D5"/>
    <w:rsid w:val="0A480E6D"/>
    <w:rsid w:val="0A630245"/>
    <w:rsid w:val="0AAD198F"/>
    <w:rsid w:val="0ACD5980"/>
    <w:rsid w:val="0AE8603C"/>
    <w:rsid w:val="0B08578F"/>
    <w:rsid w:val="0B2A38CC"/>
    <w:rsid w:val="0B3D11D7"/>
    <w:rsid w:val="0B4D7E24"/>
    <w:rsid w:val="0B552AA6"/>
    <w:rsid w:val="0BAE0408"/>
    <w:rsid w:val="0BC8121F"/>
    <w:rsid w:val="0BCC77D1"/>
    <w:rsid w:val="0C1D5752"/>
    <w:rsid w:val="0C2A79A7"/>
    <w:rsid w:val="0D0F09F4"/>
    <w:rsid w:val="0D290237"/>
    <w:rsid w:val="0D5A6EC6"/>
    <w:rsid w:val="0D7017CB"/>
    <w:rsid w:val="0D9D2541"/>
    <w:rsid w:val="0DA91684"/>
    <w:rsid w:val="0DDF11B0"/>
    <w:rsid w:val="0DE400D0"/>
    <w:rsid w:val="0E6F1701"/>
    <w:rsid w:val="0EC14FC9"/>
    <w:rsid w:val="0F044F59"/>
    <w:rsid w:val="0F140641"/>
    <w:rsid w:val="0F1B29FC"/>
    <w:rsid w:val="0F2A6DD4"/>
    <w:rsid w:val="0F3C7742"/>
    <w:rsid w:val="0F59694D"/>
    <w:rsid w:val="0F6D6058"/>
    <w:rsid w:val="0F702C97"/>
    <w:rsid w:val="0F7F041C"/>
    <w:rsid w:val="0FD0297E"/>
    <w:rsid w:val="102C42B5"/>
    <w:rsid w:val="10884168"/>
    <w:rsid w:val="10B27A75"/>
    <w:rsid w:val="10C6322B"/>
    <w:rsid w:val="10E968F4"/>
    <w:rsid w:val="112B22AE"/>
    <w:rsid w:val="114443FF"/>
    <w:rsid w:val="11BF5172"/>
    <w:rsid w:val="11FA6155"/>
    <w:rsid w:val="12341D23"/>
    <w:rsid w:val="124757BD"/>
    <w:rsid w:val="125353DE"/>
    <w:rsid w:val="12596E93"/>
    <w:rsid w:val="12AA0036"/>
    <w:rsid w:val="12C0506D"/>
    <w:rsid w:val="135D26C4"/>
    <w:rsid w:val="14313199"/>
    <w:rsid w:val="144E0F32"/>
    <w:rsid w:val="157822BD"/>
    <w:rsid w:val="15802266"/>
    <w:rsid w:val="158A686E"/>
    <w:rsid w:val="15E06926"/>
    <w:rsid w:val="15E44ED5"/>
    <w:rsid w:val="16206B0B"/>
    <w:rsid w:val="162E776E"/>
    <w:rsid w:val="166E0204"/>
    <w:rsid w:val="16946F05"/>
    <w:rsid w:val="172442A9"/>
    <w:rsid w:val="172E4BA7"/>
    <w:rsid w:val="17410644"/>
    <w:rsid w:val="17B6552D"/>
    <w:rsid w:val="182D39B3"/>
    <w:rsid w:val="182E6BE8"/>
    <w:rsid w:val="18367272"/>
    <w:rsid w:val="18C61E40"/>
    <w:rsid w:val="18F73E77"/>
    <w:rsid w:val="194F7DB9"/>
    <w:rsid w:val="198538BE"/>
    <w:rsid w:val="19BD3F6F"/>
    <w:rsid w:val="19D356F8"/>
    <w:rsid w:val="1A055946"/>
    <w:rsid w:val="1A262F59"/>
    <w:rsid w:val="1A9B5D2D"/>
    <w:rsid w:val="1AC71ABE"/>
    <w:rsid w:val="1AF2423E"/>
    <w:rsid w:val="1B1156DA"/>
    <w:rsid w:val="1B202736"/>
    <w:rsid w:val="1B295052"/>
    <w:rsid w:val="1B2B5799"/>
    <w:rsid w:val="1BC479D9"/>
    <w:rsid w:val="1C1246E1"/>
    <w:rsid w:val="1C29242D"/>
    <w:rsid w:val="1C322108"/>
    <w:rsid w:val="1C323D7C"/>
    <w:rsid w:val="1C836B94"/>
    <w:rsid w:val="1CB37956"/>
    <w:rsid w:val="1CBC0B26"/>
    <w:rsid w:val="1CF609C8"/>
    <w:rsid w:val="1D2041D2"/>
    <w:rsid w:val="1D6D1FC7"/>
    <w:rsid w:val="1D6F190E"/>
    <w:rsid w:val="1DAE2687"/>
    <w:rsid w:val="1DB238A7"/>
    <w:rsid w:val="1E3C73D2"/>
    <w:rsid w:val="1E504991"/>
    <w:rsid w:val="1E550743"/>
    <w:rsid w:val="1E86310C"/>
    <w:rsid w:val="1E9A0F97"/>
    <w:rsid w:val="1F131FC5"/>
    <w:rsid w:val="1F431D10"/>
    <w:rsid w:val="1F4D2B9B"/>
    <w:rsid w:val="1FC23CA6"/>
    <w:rsid w:val="200021A3"/>
    <w:rsid w:val="20241ECF"/>
    <w:rsid w:val="203B0065"/>
    <w:rsid w:val="206B12F1"/>
    <w:rsid w:val="207A5DB5"/>
    <w:rsid w:val="20A7394C"/>
    <w:rsid w:val="20B27D13"/>
    <w:rsid w:val="210A061F"/>
    <w:rsid w:val="2147312D"/>
    <w:rsid w:val="215D1CE0"/>
    <w:rsid w:val="21B21FE4"/>
    <w:rsid w:val="21B94C8F"/>
    <w:rsid w:val="21C46126"/>
    <w:rsid w:val="21C94B24"/>
    <w:rsid w:val="222423AB"/>
    <w:rsid w:val="22254EA5"/>
    <w:rsid w:val="22576F7E"/>
    <w:rsid w:val="2276439D"/>
    <w:rsid w:val="22AE152D"/>
    <w:rsid w:val="22D472EA"/>
    <w:rsid w:val="22D66B36"/>
    <w:rsid w:val="230F374E"/>
    <w:rsid w:val="23140A68"/>
    <w:rsid w:val="23491036"/>
    <w:rsid w:val="23833A77"/>
    <w:rsid w:val="23DF45BC"/>
    <w:rsid w:val="2413405F"/>
    <w:rsid w:val="24152D0E"/>
    <w:rsid w:val="242240EE"/>
    <w:rsid w:val="246B3966"/>
    <w:rsid w:val="24704055"/>
    <w:rsid w:val="25445C0D"/>
    <w:rsid w:val="2567137C"/>
    <w:rsid w:val="25A33403"/>
    <w:rsid w:val="25A826FB"/>
    <w:rsid w:val="264017DB"/>
    <w:rsid w:val="26730690"/>
    <w:rsid w:val="269D1D85"/>
    <w:rsid w:val="26DD0F2F"/>
    <w:rsid w:val="270039DD"/>
    <w:rsid w:val="27065B8E"/>
    <w:rsid w:val="27133A65"/>
    <w:rsid w:val="274C2AA0"/>
    <w:rsid w:val="274E21F3"/>
    <w:rsid w:val="27555644"/>
    <w:rsid w:val="27832CA4"/>
    <w:rsid w:val="27E90BA5"/>
    <w:rsid w:val="28067D58"/>
    <w:rsid w:val="280977C9"/>
    <w:rsid w:val="28310568"/>
    <w:rsid w:val="285B7CCF"/>
    <w:rsid w:val="28725EEC"/>
    <w:rsid w:val="28890A47"/>
    <w:rsid w:val="289C6F11"/>
    <w:rsid w:val="28C57065"/>
    <w:rsid w:val="2903128D"/>
    <w:rsid w:val="29066CC9"/>
    <w:rsid w:val="29130DAA"/>
    <w:rsid w:val="2942544A"/>
    <w:rsid w:val="298B16DC"/>
    <w:rsid w:val="29AE402B"/>
    <w:rsid w:val="29C04D65"/>
    <w:rsid w:val="29D86924"/>
    <w:rsid w:val="29DD12E8"/>
    <w:rsid w:val="2A892ACE"/>
    <w:rsid w:val="2B272F38"/>
    <w:rsid w:val="2B3E29B0"/>
    <w:rsid w:val="2B9C6471"/>
    <w:rsid w:val="2BA936AC"/>
    <w:rsid w:val="2BB72B56"/>
    <w:rsid w:val="2C0B2E8A"/>
    <w:rsid w:val="2C0E776B"/>
    <w:rsid w:val="2C234D92"/>
    <w:rsid w:val="2C2C6DE7"/>
    <w:rsid w:val="2C6327B3"/>
    <w:rsid w:val="2C735353"/>
    <w:rsid w:val="2CCD3E5B"/>
    <w:rsid w:val="2CEC352F"/>
    <w:rsid w:val="2D2C48E3"/>
    <w:rsid w:val="2D3736FF"/>
    <w:rsid w:val="2E222B09"/>
    <w:rsid w:val="2E3800BB"/>
    <w:rsid w:val="2E795270"/>
    <w:rsid w:val="2E8B665B"/>
    <w:rsid w:val="2EBB595A"/>
    <w:rsid w:val="2F0629E7"/>
    <w:rsid w:val="2F0E2F4D"/>
    <w:rsid w:val="2F212B1B"/>
    <w:rsid w:val="2F4521E4"/>
    <w:rsid w:val="2F4836D5"/>
    <w:rsid w:val="2F7758D1"/>
    <w:rsid w:val="2F927575"/>
    <w:rsid w:val="2F9A4886"/>
    <w:rsid w:val="2FC457EA"/>
    <w:rsid w:val="30704527"/>
    <w:rsid w:val="30897C69"/>
    <w:rsid w:val="308D61DE"/>
    <w:rsid w:val="30A7349A"/>
    <w:rsid w:val="30C90B47"/>
    <w:rsid w:val="313D79CC"/>
    <w:rsid w:val="316354A7"/>
    <w:rsid w:val="317646E3"/>
    <w:rsid w:val="31875383"/>
    <w:rsid w:val="318E5FFA"/>
    <w:rsid w:val="31943AA9"/>
    <w:rsid w:val="319F4123"/>
    <w:rsid w:val="322B4E1D"/>
    <w:rsid w:val="32467A4F"/>
    <w:rsid w:val="325D28CB"/>
    <w:rsid w:val="3276462D"/>
    <w:rsid w:val="327A29B6"/>
    <w:rsid w:val="33061F9B"/>
    <w:rsid w:val="336E20D0"/>
    <w:rsid w:val="3399272C"/>
    <w:rsid w:val="33D01A66"/>
    <w:rsid w:val="34951981"/>
    <w:rsid w:val="34FB0E1E"/>
    <w:rsid w:val="35522773"/>
    <w:rsid w:val="35571FC4"/>
    <w:rsid w:val="357355F5"/>
    <w:rsid w:val="35A52E1A"/>
    <w:rsid w:val="35C67DD5"/>
    <w:rsid w:val="35D958A1"/>
    <w:rsid w:val="36040C7F"/>
    <w:rsid w:val="364277B7"/>
    <w:rsid w:val="36493A32"/>
    <w:rsid w:val="36A0670F"/>
    <w:rsid w:val="36BF46BD"/>
    <w:rsid w:val="372A6239"/>
    <w:rsid w:val="377C1237"/>
    <w:rsid w:val="3781684D"/>
    <w:rsid w:val="37CA5367"/>
    <w:rsid w:val="37CC7088"/>
    <w:rsid w:val="37D270A9"/>
    <w:rsid w:val="37E56DDC"/>
    <w:rsid w:val="37FD48A3"/>
    <w:rsid w:val="386A693F"/>
    <w:rsid w:val="38C91EDE"/>
    <w:rsid w:val="38E05F94"/>
    <w:rsid w:val="38F87BCE"/>
    <w:rsid w:val="38FE4D4C"/>
    <w:rsid w:val="394B09FC"/>
    <w:rsid w:val="39D2560D"/>
    <w:rsid w:val="39EB6E3D"/>
    <w:rsid w:val="39FE66FC"/>
    <w:rsid w:val="3A02218E"/>
    <w:rsid w:val="3A0F2768"/>
    <w:rsid w:val="3A16029D"/>
    <w:rsid w:val="3A676E8E"/>
    <w:rsid w:val="3B8B7825"/>
    <w:rsid w:val="3BCD29AB"/>
    <w:rsid w:val="3C0035D5"/>
    <w:rsid w:val="3C1D71BD"/>
    <w:rsid w:val="3C565EBA"/>
    <w:rsid w:val="3C6275A7"/>
    <w:rsid w:val="3C812E4B"/>
    <w:rsid w:val="3CA32A7A"/>
    <w:rsid w:val="3CA63EB8"/>
    <w:rsid w:val="3CBA2E4C"/>
    <w:rsid w:val="3CC27718"/>
    <w:rsid w:val="3D320B05"/>
    <w:rsid w:val="3D565A5B"/>
    <w:rsid w:val="3D6A1C55"/>
    <w:rsid w:val="3D6A4A97"/>
    <w:rsid w:val="3D9077EA"/>
    <w:rsid w:val="3D97381F"/>
    <w:rsid w:val="3DA4532D"/>
    <w:rsid w:val="3DC20A14"/>
    <w:rsid w:val="3DE70627"/>
    <w:rsid w:val="3DE926DB"/>
    <w:rsid w:val="3E3E04E0"/>
    <w:rsid w:val="3E8F3608"/>
    <w:rsid w:val="3E9C5D1B"/>
    <w:rsid w:val="3ECC5091"/>
    <w:rsid w:val="3ED12450"/>
    <w:rsid w:val="3EE33949"/>
    <w:rsid w:val="3F3A5E84"/>
    <w:rsid w:val="3F563C1C"/>
    <w:rsid w:val="3FD076E4"/>
    <w:rsid w:val="400C1DDF"/>
    <w:rsid w:val="401502E1"/>
    <w:rsid w:val="40180448"/>
    <w:rsid w:val="40555EC4"/>
    <w:rsid w:val="40630BDF"/>
    <w:rsid w:val="40C61D35"/>
    <w:rsid w:val="40EC7837"/>
    <w:rsid w:val="41223902"/>
    <w:rsid w:val="418222AA"/>
    <w:rsid w:val="418A0634"/>
    <w:rsid w:val="418A3504"/>
    <w:rsid w:val="41B312B7"/>
    <w:rsid w:val="423E425A"/>
    <w:rsid w:val="424654AE"/>
    <w:rsid w:val="42D10FC8"/>
    <w:rsid w:val="42D81E70"/>
    <w:rsid w:val="42FE42DB"/>
    <w:rsid w:val="43097D92"/>
    <w:rsid w:val="43CD04BE"/>
    <w:rsid w:val="43FA25ED"/>
    <w:rsid w:val="4416242A"/>
    <w:rsid w:val="44181CA3"/>
    <w:rsid w:val="44312F45"/>
    <w:rsid w:val="4437202E"/>
    <w:rsid w:val="446535BC"/>
    <w:rsid w:val="446C7115"/>
    <w:rsid w:val="44B20049"/>
    <w:rsid w:val="44B2546D"/>
    <w:rsid w:val="44BD4C3D"/>
    <w:rsid w:val="44EE2D36"/>
    <w:rsid w:val="45223285"/>
    <w:rsid w:val="4593343A"/>
    <w:rsid w:val="459423A1"/>
    <w:rsid w:val="45D90F0A"/>
    <w:rsid w:val="45E35D9F"/>
    <w:rsid w:val="45EA09C7"/>
    <w:rsid w:val="46012F51"/>
    <w:rsid w:val="46244A15"/>
    <w:rsid w:val="462A65A3"/>
    <w:rsid w:val="46407576"/>
    <w:rsid w:val="469E5782"/>
    <w:rsid w:val="46A50C52"/>
    <w:rsid w:val="471D27F0"/>
    <w:rsid w:val="472B305E"/>
    <w:rsid w:val="474B7376"/>
    <w:rsid w:val="475F6DAE"/>
    <w:rsid w:val="47653EAA"/>
    <w:rsid w:val="47681B16"/>
    <w:rsid w:val="47D51F21"/>
    <w:rsid w:val="47EE6E7F"/>
    <w:rsid w:val="48575C73"/>
    <w:rsid w:val="487E3AEE"/>
    <w:rsid w:val="48E6718E"/>
    <w:rsid w:val="49101D8B"/>
    <w:rsid w:val="49366914"/>
    <w:rsid w:val="493C021F"/>
    <w:rsid w:val="49506CDC"/>
    <w:rsid w:val="49655E36"/>
    <w:rsid w:val="4980703B"/>
    <w:rsid w:val="4A6A63DE"/>
    <w:rsid w:val="4A85534E"/>
    <w:rsid w:val="4A9B332A"/>
    <w:rsid w:val="4B906A1A"/>
    <w:rsid w:val="4BB05966"/>
    <w:rsid w:val="4BB36432"/>
    <w:rsid w:val="4BDE13DC"/>
    <w:rsid w:val="4C900D47"/>
    <w:rsid w:val="4CA5140A"/>
    <w:rsid w:val="4D006B82"/>
    <w:rsid w:val="4D1D0A48"/>
    <w:rsid w:val="4D2109FF"/>
    <w:rsid w:val="4D351CB8"/>
    <w:rsid w:val="4D48229B"/>
    <w:rsid w:val="4D840BAC"/>
    <w:rsid w:val="4DB90E6F"/>
    <w:rsid w:val="4E081029"/>
    <w:rsid w:val="4E9A4322"/>
    <w:rsid w:val="4EB946C7"/>
    <w:rsid w:val="4EE2394B"/>
    <w:rsid w:val="4EEA1F8F"/>
    <w:rsid w:val="4F00148F"/>
    <w:rsid w:val="4F5930F6"/>
    <w:rsid w:val="4F8D346A"/>
    <w:rsid w:val="4FC80C87"/>
    <w:rsid w:val="500234F4"/>
    <w:rsid w:val="50730BB3"/>
    <w:rsid w:val="50740DF6"/>
    <w:rsid w:val="50B92582"/>
    <w:rsid w:val="50C077B3"/>
    <w:rsid w:val="50D15B8B"/>
    <w:rsid w:val="51040BC6"/>
    <w:rsid w:val="511C724F"/>
    <w:rsid w:val="51422996"/>
    <w:rsid w:val="51581F75"/>
    <w:rsid w:val="51685457"/>
    <w:rsid w:val="51770F53"/>
    <w:rsid w:val="51DD71EF"/>
    <w:rsid w:val="52F97875"/>
    <w:rsid w:val="530A3B82"/>
    <w:rsid w:val="530F2934"/>
    <w:rsid w:val="5345140A"/>
    <w:rsid w:val="5359297A"/>
    <w:rsid w:val="5385554A"/>
    <w:rsid w:val="53B5647C"/>
    <w:rsid w:val="53C355FC"/>
    <w:rsid w:val="546A7EA8"/>
    <w:rsid w:val="54807D27"/>
    <w:rsid w:val="549820D4"/>
    <w:rsid w:val="553D568F"/>
    <w:rsid w:val="55444AB3"/>
    <w:rsid w:val="55917280"/>
    <w:rsid w:val="55D25536"/>
    <w:rsid w:val="561029E1"/>
    <w:rsid w:val="56157244"/>
    <w:rsid w:val="565C42B5"/>
    <w:rsid w:val="56C64B51"/>
    <w:rsid w:val="56F931DB"/>
    <w:rsid w:val="57003F9B"/>
    <w:rsid w:val="57432B6D"/>
    <w:rsid w:val="57500BF8"/>
    <w:rsid w:val="57593099"/>
    <w:rsid w:val="575A4AD4"/>
    <w:rsid w:val="57D26844"/>
    <w:rsid w:val="57E17BBD"/>
    <w:rsid w:val="580932B3"/>
    <w:rsid w:val="581E2746"/>
    <w:rsid w:val="5829466B"/>
    <w:rsid w:val="58311311"/>
    <w:rsid w:val="5883015F"/>
    <w:rsid w:val="58A27DE8"/>
    <w:rsid w:val="58CD2DA6"/>
    <w:rsid w:val="58E662AE"/>
    <w:rsid w:val="59704E14"/>
    <w:rsid w:val="597C6DCF"/>
    <w:rsid w:val="599B1268"/>
    <w:rsid w:val="59E85669"/>
    <w:rsid w:val="5A507883"/>
    <w:rsid w:val="5A716993"/>
    <w:rsid w:val="5A7351A8"/>
    <w:rsid w:val="5A981461"/>
    <w:rsid w:val="5B190DA3"/>
    <w:rsid w:val="5B277296"/>
    <w:rsid w:val="5B673332"/>
    <w:rsid w:val="5B7A59FA"/>
    <w:rsid w:val="5B9C3E38"/>
    <w:rsid w:val="5BB0024F"/>
    <w:rsid w:val="5BE72194"/>
    <w:rsid w:val="5C166CB5"/>
    <w:rsid w:val="5C292E8C"/>
    <w:rsid w:val="5C513A2A"/>
    <w:rsid w:val="5C586C08"/>
    <w:rsid w:val="5C7B4434"/>
    <w:rsid w:val="5D293018"/>
    <w:rsid w:val="5D9A3907"/>
    <w:rsid w:val="5DFA2FB9"/>
    <w:rsid w:val="5E330A5A"/>
    <w:rsid w:val="5E3C59CA"/>
    <w:rsid w:val="5E8D4681"/>
    <w:rsid w:val="5E9C133D"/>
    <w:rsid w:val="5ED20630"/>
    <w:rsid w:val="5EE60058"/>
    <w:rsid w:val="5EEE1E6A"/>
    <w:rsid w:val="5F107D50"/>
    <w:rsid w:val="5F535B62"/>
    <w:rsid w:val="5F54383A"/>
    <w:rsid w:val="5F59454E"/>
    <w:rsid w:val="5F8B45CF"/>
    <w:rsid w:val="60413590"/>
    <w:rsid w:val="60433FF6"/>
    <w:rsid w:val="604734B7"/>
    <w:rsid w:val="604E7CF5"/>
    <w:rsid w:val="60621737"/>
    <w:rsid w:val="60927DAA"/>
    <w:rsid w:val="609E51AE"/>
    <w:rsid w:val="60C652EE"/>
    <w:rsid w:val="60E37D2E"/>
    <w:rsid w:val="612C22F2"/>
    <w:rsid w:val="61505936"/>
    <w:rsid w:val="61E27486"/>
    <w:rsid w:val="61E30799"/>
    <w:rsid w:val="62141EE8"/>
    <w:rsid w:val="62670D55"/>
    <w:rsid w:val="62AD66F3"/>
    <w:rsid w:val="63183BC0"/>
    <w:rsid w:val="63343A17"/>
    <w:rsid w:val="636442B8"/>
    <w:rsid w:val="637C3300"/>
    <w:rsid w:val="63816126"/>
    <w:rsid w:val="63A77948"/>
    <w:rsid w:val="63DA54F3"/>
    <w:rsid w:val="63DF215D"/>
    <w:rsid w:val="63FF34D3"/>
    <w:rsid w:val="641C4944"/>
    <w:rsid w:val="647932E6"/>
    <w:rsid w:val="649069ED"/>
    <w:rsid w:val="650F435A"/>
    <w:rsid w:val="6540674F"/>
    <w:rsid w:val="655C59D4"/>
    <w:rsid w:val="65794D24"/>
    <w:rsid w:val="65943300"/>
    <w:rsid w:val="65BA3EB5"/>
    <w:rsid w:val="65CD0D2C"/>
    <w:rsid w:val="65E3285A"/>
    <w:rsid w:val="65F00576"/>
    <w:rsid w:val="66205579"/>
    <w:rsid w:val="665924FF"/>
    <w:rsid w:val="6682084F"/>
    <w:rsid w:val="66B71485"/>
    <w:rsid w:val="67591631"/>
    <w:rsid w:val="675F6683"/>
    <w:rsid w:val="67C24C5D"/>
    <w:rsid w:val="67F8063D"/>
    <w:rsid w:val="682C608B"/>
    <w:rsid w:val="68621178"/>
    <w:rsid w:val="68756A4D"/>
    <w:rsid w:val="68A326EA"/>
    <w:rsid w:val="68AF67AF"/>
    <w:rsid w:val="68F15BF3"/>
    <w:rsid w:val="6917358A"/>
    <w:rsid w:val="69A47FC3"/>
    <w:rsid w:val="69D84B37"/>
    <w:rsid w:val="6A3A2708"/>
    <w:rsid w:val="6A4C6F65"/>
    <w:rsid w:val="6A516E96"/>
    <w:rsid w:val="6A5C504F"/>
    <w:rsid w:val="6AA2031A"/>
    <w:rsid w:val="6AA212E0"/>
    <w:rsid w:val="6AD3375C"/>
    <w:rsid w:val="6AF418C4"/>
    <w:rsid w:val="6B2F25D6"/>
    <w:rsid w:val="6B7C05C9"/>
    <w:rsid w:val="6BC1333C"/>
    <w:rsid w:val="6BE472C6"/>
    <w:rsid w:val="6BFA4E5B"/>
    <w:rsid w:val="6C1F7F2A"/>
    <w:rsid w:val="6C69163F"/>
    <w:rsid w:val="6C921837"/>
    <w:rsid w:val="6C93094D"/>
    <w:rsid w:val="6CB02E63"/>
    <w:rsid w:val="6D475FFB"/>
    <w:rsid w:val="6D667A58"/>
    <w:rsid w:val="6D8B4EB6"/>
    <w:rsid w:val="6E375C10"/>
    <w:rsid w:val="6E9B3740"/>
    <w:rsid w:val="6EBB6E32"/>
    <w:rsid w:val="6EE12351"/>
    <w:rsid w:val="6F0344E2"/>
    <w:rsid w:val="6F1940E9"/>
    <w:rsid w:val="6F273F70"/>
    <w:rsid w:val="6F3F10C5"/>
    <w:rsid w:val="6F483E63"/>
    <w:rsid w:val="6F5A2068"/>
    <w:rsid w:val="6F921E00"/>
    <w:rsid w:val="70262E3B"/>
    <w:rsid w:val="7033202F"/>
    <w:rsid w:val="70596708"/>
    <w:rsid w:val="70913A26"/>
    <w:rsid w:val="709F7153"/>
    <w:rsid w:val="70B62B2A"/>
    <w:rsid w:val="710F185B"/>
    <w:rsid w:val="7139403B"/>
    <w:rsid w:val="713A7934"/>
    <w:rsid w:val="71A62733"/>
    <w:rsid w:val="71BA1BEB"/>
    <w:rsid w:val="7212443A"/>
    <w:rsid w:val="72132FA2"/>
    <w:rsid w:val="721E1092"/>
    <w:rsid w:val="723325CD"/>
    <w:rsid w:val="723F4D5F"/>
    <w:rsid w:val="72574A0C"/>
    <w:rsid w:val="726A345E"/>
    <w:rsid w:val="72D34B22"/>
    <w:rsid w:val="72E616BE"/>
    <w:rsid w:val="7308480B"/>
    <w:rsid w:val="73413B7D"/>
    <w:rsid w:val="73953431"/>
    <w:rsid w:val="739656FC"/>
    <w:rsid w:val="73C64081"/>
    <w:rsid w:val="73E3491D"/>
    <w:rsid w:val="73F76636"/>
    <w:rsid w:val="740A314B"/>
    <w:rsid w:val="74382553"/>
    <w:rsid w:val="748E32FA"/>
    <w:rsid w:val="74916C33"/>
    <w:rsid w:val="75006564"/>
    <w:rsid w:val="752E2173"/>
    <w:rsid w:val="7577538A"/>
    <w:rsid w:val="75860015"/>
    <w:rsid w:val="759C667B"/>
    <w:rsid w:val="75A82C1C"/>
    <w:rsid w:val="76287404"/>
    <w:rsid w:val="76315536"/>
    <w:rsid w:val="7651344F"/>
    <w:rsid w:val="76CC46DF"/>
    <w:rsid w:val="76F1741F"/>
    <w:rsid w:val="777E0FF0"/>
    <w:rsid w:val="77B04009"/>
    <w:rsid w:val="77B93D90"/>
    <w:rsid w:val="77BD1911"/>
    <w:rsid w:val="77D661F4"/>
    <w:rsid w:val="783B199E"/>
    <w:rsid w:val="78403444"/>
    <w:rsid w:val="7852676F"/>
    <w:rsid w:val="78634592"/>
    <w:rsid w:val="786C5B43"/>
    <w:rsid w:val="78A07BDA"/>
    <w:rsid w:val="78E03286"/>
    <w:rsid w:val="79807EB5"/>
    <w:rsid w:val="79AE76EE"/>
    <w:rsid w:val="79BC7668"/>
    <w:rsid w:val="79C23A05"/>
    <w:rsid w:val="79F6038D"/>
    <w:rsid w:val="7A3F28CB"/>
    <w:rsid w:val="7A4C6CE0"/>
    <w:rsid w:val="7AD7423F"/>
    <w:rsid w:val="7AF56815"/>
    <w:rsid w:val="7AF666C7"/>
    <w:rsid w:val="7B767318"/>
    <w:rsid w:val="7BBF6C3B"/>
    <w:rsid w:val="7CE20D95"/>
    <w:rsid w:val="7D0A06DB"/>
    <w:rsid w:val="7D7D2D77"/>
    <w:rsid w:val="7D853A39"/>
    <w:rsid w:val="7DA56615"/>
    <w:rsid w:val="7DB34E4B"/>
    <w:rsid w:val="7DBB1A54"/>
    <w:rsid w:val="7DC776F1"/>
    <w:rsid w:val="7E13465B"/>
    <w:rsid w:val="7E3D1CB0"/>
    <w:rsid w:val="7E811E0B"/>
    <w:rsid w:val="7EC0388E"/>
    <w:rsid w:val="7EF161FB"/>
    <w:rsid w:val="7F2427E0"/>
    <w:rsid w:val="7F381A36"/>
    <w:rsid w:val="7F39552C"/>
    <w:rsid w:val="7FCC0635"/>
    <w:rsid w:val="7FD07A95"/>
    <w:rsid w:val="7FE33084"/>
    <w:rsid w:val="7FFA6713"/>
    <w:rsid w:val="7FFF1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ahoma" w:hAnsi="Tahoma" w:eastAsia="EYInterstate Light" w:cs="Tahoma"/>
      <w:kern w:val="2"/>
      <w:sz w:val="21"/>
      <w:szCs w:val="24"/>
      <w:lang w:val="en-US" w:eastAsia="zh-CN" w:bidi="ar-SA"/>
    </w:rPr>
  </w:style>
  <w:style w:type="paragraph" w:styleId="2">
    <w:name w:val="heading 1"/>
    <w:basedOn w:val="1"/>
    <w:next w:val="1"/>
    <w:link w:val="57"/>
    <w:autoRedefine/>
    <w:qFormat/>
    <w:uiPriority w:val="0"/>
    <w:pPr>
      <w:keepNext/>
      <w:keepLines/>
      <w:spacing w:before="0" w:after="0" w:line="360" w:lineRule="auto"/>
      <w:jc w:val="center"/>
      <w:outlineLvl w:val="0"/>
    </w:pPr>
    <w:rPr>
      <w:rFonts w:eastAsia="黑体"/>
      <w:b/>
      <w:bCs/>
      <w:kern w:val="44"/>
      <w:sz w:val="44"/>
      <w:szCs w:val="44"/>
    </w:rPr>
  </w:style>
  <w:style w:type="paragraph" w:styleId="3">
    <w:name w:val="heading 2"/>
    <w:basedOn w:val="1"/>
    <w:next w:val="1"/>
    <w:link w:val="89"/>
    <w:autoRedefine/>
    <w:qFormat/>
    <w:uiPriority w:val="0"/>
    <w:pPr>
      <w:keepNext/>
      <w:keepLines/>
      <w:spacing w:before="0" w:after="0" w:line="360" w:lineRule="auto"/>
      <w:ind w:firstLine="640" w:firstLineChars="200"/>
      <w:outlineLvl w:val="1"/>
    </w:pPr>
    <w:rPr>
      <w:rFonts w:ascii="Verdana" w:hAnsi="Verdana" w:eastAsia="宋体"/>
      <w:b/>
      <w:bCs/>
      <w:sz w:val="32"/>
      <w:szCs w:val="32"/>
      <w:lang w:val="zh-CN"/>
    </w:rPr>
  </w:style>
  <w:style w:type="paragraph" w:styleId="4">
    <w:name w:val="heading 3"/>
    <w:basedOn w:val="1"/>
    <w:next w:val="5"/>
    <w:link w:val="93"/>
    <w:autoRedefine/>
    <w:qFormat/>
    <w:uiPriority w:val="9"/>
    <w:pPr>
      <w:keepNext/>
      <w:keepLines/>
      <w:autoSpaceDE w:val="0"/>
      <w:autoSpaceDN w:val="0"/>
      <w:adjustRightInd w:val="0"/>
      <w:spacing w:before="120" w:after="120" w:line="416" w:lineRule="atLeast"/>
      <w:outlineLvl w:val="2"/>
    </w:pPr>
    <w:rPr>
      <w:rFonts w:ascii="华文细黑" w:eastAsia="华文细黑"/>
      <w:kern w:val="0"/>
      <w:sz w:val="28"/>
      <w:szCs w:val="20"/>
      <w:lang w:val="zh-CN"/>
    </w:rPr>
  </w:style>
  <w:style w:type="paragraph" w:styleId="6">
    <w:name w:val="heading 4"/>
    <w:basedOn w:val="1"/>
    <w:next w:val="1"/>
    <w:link w:val="163"/>
    <w:autoRedefine/>
    <w:qFormat/>
    <w:uiPriority w:val="0"/>
    <w:pPr>
      <w:keepNext/>
      <w:outlineLvl w:val="3"/>
    </w:pPr>
    <w:rPr>
      <w:sz w:val="28"/>
      <w:szCs w:val="20"/>
      <w:lang w:val="zh-CN"/>
    </w:rPr>
  </w:style>
  <w:style w:type="paragraph" w:styleId="7">
    <w:name w:val="heading 5"/>
    <w:basedOn w:val="1"/>
    <w:next w:val="1"/>
    <w:link w:val="125"/>
    <w:autoRedefine/>
    <w:qFormat/>
    <w:uiPriority w:val="0"/>
    <w:pPr>
      <w:keepNext/>
      <w:keepLines/>
      <w:spacing w:before="280" w:after="290" w:line="376" w:lineRule="auto"/>
      <w:outlineLvl w:val="4"/>
    </w:pPr>
    <w:rPr>
      <w:b/>
      <w:bCs/>
      <w:sz w:val="28"/>
      <w:szCs w:val="28"/>
    </w:rPr>
  </w:style>
  <w:style w:type="paragraph" w:styleId="8">
    <w:name w:val="heading 6"/>
    <w:basedOn w:val="1"/>
    <w:next w:val="1"/>
    <w:link w:val="77"/>
    <w:autoRedefine/>
    <w:qFormat/>
    <w:uiPriority w:val="0"/>
    <w:pPr>
      <w:keepNext/>
      <w:keepLines/>
      <w:spacing w:before="240" w:after="64" w:line="320" w:lineRule="auto"/>
      <w:outlineLvl w:val="5"/>
    </w:pPr>
    <w:rPr>
      <w:rFonts w:ascii="Verdana" w:hAnsi="Verdana" w:eastAsia="华文细黑"/>
      <w:b/>
      <w:bCs/>
      <w:sz w:val="24"/>
      <w:lang w:val="zh-CN"/>
    </w:rPr>
  </w:style>
  <w:style w:type="paragraph" w:styleId="9">
    <w:name w:val="heading 7"/>
    <w:basedOn w:val="1"/>
    <w:next w:val="1"/>
    <w:link w:val="168"/>
    <w:autoRedefine/>
    <w:qFormat/>
    <w:uiPriority w:val="0"/>
    <w:pPr>
      <w:keepNext/>
      <w:keepLines/>
      <w:spacing w:before="240" w:after="64" w:line="320" w:lineRule="auto"/>
      <w:outlineLvl w:val="6"/>
    </w:pPr>
    <w:rPr>
      <w:b/>
      <w:bCs/>
      <w:sz w:val="24"/>
      <w:lang w:val="zh-CN"/>
    </w:rPr>
  </w:style>
  <w:style w:type="paragraph" w:styleId="10">
    <w:name w:val="heading 8"/>
    <w:basedOn w:val="1"/>
    <w:next w:val="1"/>
    <w:link w:val="109"/>
    <w:autoRedefine/>
    <w:qFormat/>
    <w:uiPriority w:val="0"/>
    <w:pPr>
      <w:keepNext/>
      <w:keepLines/>
      <w:spacing w:before="240" w:after="64" w:line="320" w:lineRule="auto"/>
      <w:outlineLvl w:val="7"/>
    </w:pPr>
    <w:rPr>
      <w:rFonts w:ascii="Verdana" w:hAnsi="Verdana" w:eastAsia="华文细黑"/>
      <w:sz w:val="24"/>
      <w:lang w:val="zh-CN"/>
    </w:rPr>
  </w:style>
  <w:style w:type="paragraph" w:styleId="11">
    <w:name w:val="heading 9"/>
    <w:basedOn w:val="1"/>
    <w:next w:val="1"/>
    <w:link w:val="72"/>
    <w:autoRedefine/>
    <w:qFormat/>
    <w:uiPriority w:val="0"/>
    <w:pPr>
      <w:keepNext/>
      <w:keepLines/>
      <w:spacing w:before="240" w:after="64" w:line="320" w:lineRule="auto"/>
      <w:outlineLvl w:val="8"/>
    </w:pPr>
    <w:rPr>
      <w:rFonts w:ascii="Verdana" w:hAnsi="Verdana" w:eastAsia="华文细黑"/>
      <w:szCs w:val="21"/>
      <w:lang w:val="zh-CN"/>
    </w:rPr>
  </w:style>
  <w:style w:type="character" w:default="1" w:styleId="48">
    <w:name w:val="Default Paragraph Font"/>
    <w:autoRedefine/>
    <w:unhideWhenUsed/>
    <w:qFormat/>
    <w:uiPriority w:val="1"/>
  </w:style>
  <w:style w:type="table" w:default="1" w:styleId="46">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link w:val="134"/>
    <w:autoRedefine/>
    <w:qFormat/>
    <w:uiPriority w:val="0"/>
    <w:pPr>
      <w:autoSpaceDE w:val="0"/>
      <w:autoSpaceDN w:val="0"/>
      <w:adjustRightInd w:val="0"/>
      <w:spacing w:line="315" w:lineRule="atLeast"/>
      <w:ind w:firstLine="420"/>
      <w:jc w:val="left"/>
    </w:pPr>
    <w:rPr>
      <w:rFonts w:ascii="Cambria Math" w:eastAsia="Cambria Math"/>
      <w:kern w:val="0"/>
      <w:sz w:val="28"/>
      <w:szCs w:val="20"/>
    </w:rPr>
  </w:style>
  <w:style w:type="paragraph" w:styleId="12">
    <w:name w:val="toc 7"/>
    <w:basedOn w:val="1"/>
    <w:next w:val="1"/>
    <w:autoRedefine/>
    <w:unhideWhenUsed/>
    <w:qFormat/>
    <w:uiPriority w:val="0"/>
    <w:pPr>
      <w:ind w:left="2520" w:leftChars="1200"/>
    </w:pPr>
    <w:rPr>
      <w:rFonts w:ascii="楷体_GB2312" w:hAnsi="楷体_GB2312"/>
      <w:szCs w:val="22"/>
    </w:rPr>
  </w:style>
  <w:style w:type="paragraph" w:styleId="13">
    <w:name w:val="Document Map"/>
    <w:basedOn w:val="1"/>
    <w:link w:val="59"/>
    <w:autoRedefine/>
    <w:semiHidden/>
    <w:qFormat/>
    <w:uiPriority w:val="0"/>
    <w:rPr>
      <w:rFonts w:ascii="EYInterstate Light"/>
      <w:sz w:val="18"/>
      <w:szCs w:val="18"/>
    </w:rPr>
  </w:style>
  <w:style w:type="paragraph" w:styleId="14">
    <w:name w:val="annotation text"/>
    <w:basedOn w:val="1"/>
    <w:link w:val="117"/>
    <w:autoRedefine/>
    <w:qFormat/>
    <w:uiPriority w:val="99"/>
    <w:pPr>
      <w:jc w:val="left"/>
    </w:pPr>
  </w:style>
  <w:style w:type="paragraph" w:styleId="15">
    <w:name w:val="Salutation"/>
    <w:basedOn w:val="1"/>
    <w:next w:val="1"/>
    <w:link w:val="76"/>
    <w:autoRedefine/>
    <w:qFormat/>
    <w:uiPriority w:val="0"/>
    <w:rPr>
      <w:rFonts w:cs="Times New Roman"/>
      <w:sz w:val="24"/>
      <w:lang w:val="zh-CN"/>
    </w:rPr>
  </w:style>
  <w:style w:type="paragraph" w:styleId="16">
    <w:name w:val="Body Text 3"/>
    <w:basedOn w:val="1"/>
    <w:link w:val="144"/>
    <w:autoRedefine/>
    <w:qFormat/>
    <w:uiPriority w:val="0"/>
    <w:pPr>
      <w:spacing w:after="120"/>
    </w:pPr>
    <w:rPr>
      <w:sz w:val="16"/>
      <w:szCs w:val="16"/>
      <w:lang w:val="zh-CN"/>
    </w:rPr>
  </w:style>
  <w:style w:type="paragraph" w:styleId="17">
    <w:name w:val="Body Text"/>
    <w:basedOn w:val="1"/>
    <w:link w:val="94"/>
    <w:autoRedefine/>
    <w:qFormat/>
    <w:uiPriority w:val="99"/>
    <w:rPr>
      <w:sz w:val="28"/>
      <w:szCs w:val="20"/>
    </w:rPr>
  </w:style>
  <w:style w:type="paragraph" w:styleId="18">
    <w:name w:val="Body Text Indent"/>
    <w:basedOn w:val="1"/>
    <w:link w:val="154"/>
    <w:autoRedefine/>
    <w:qFormat/>
    <w:uiPriority w:val="0"/>
    <w:pPr>
      <w:autoSpaceDE w:val="0"/>
      <w:autoSpaceDN w:val="0"/>
      <w:adjustRightInd w:val="0"/>
      <w:spacing w:after="120" w:line="360" w:lineRule="atLeast"/>
      <w:ind w:left="900"/>
    </w:pPr>
    <w:rPr>
      <w:rFonts w:ascii="Cambria Math" w:eastAsia="Cambria Math" w:cs="Times New Roman"/>
      <w:kern w:val="0"/>
      <w:sz w:val="28"/>
      <w:szCs w:val="20"/>
      <w:lang w:val="zh-CN"/>
    </w:rPr>
  </w:style>
  <w:style w:type="paragraph" w:styleId="19">
    <w:name w:val="List 2"/>
    <w:basedOn w:val="1"/>
    <w:autoRedefine/>
    <w:qFormat/>
    <w:uiPriority w:val="0"/>
    <w:pPr>
      <w:ind w:left="100" w:leftChars="200" w:hanging="200" w:hangingChars="200"/>
    </w:pPr>
  </w:style>
  <w:style w:type="paragraph" w:styleId="20">
    <w:name w:val="Block Text"/>
    <w:basedOn w:val="1"/>
    <w:autoRedefine/>
    <w:qFormat/>
    <w:uiPriority w:val="0"/>
    <w:pPr>
      <w:adjustRightInd w:val="0"/>
      <w:snapToGrid w:val="0"/>
      <w:spacing w:line="300" w:lineRule="auto"/>
      <w:ind w:left="958" w:right="-120" w:rightChars="-120"/>
      <w:jc w:val="left"/>
    </w:pPr>
    <w:rPr>
      <w:rFonts w:hint="eastAsia" w:ascii="黑体" w:hAnsi="黑体"/>
      <w:sz w:val="28"/>
      <w:szCs w:val="20"/>
    </w:rPr>
  </w:style>
  <w:style w:type="paragraph" w:styleId="21">
    <w:name w:val="index 4"/>
    <w:basedOn w:val="1"/>
    <w:next w:val="1"/>
    <w:autoRedefine/>
    <w:qFormat/>
    <w:uiPriority w:val="0"/>
    <w:pPr>
      <w:ind w:left="600" w:leftChars="600"/>
    </w:pPr>
  </w:style>
  <w:style w:type="paragraph" w:styleId="22">
    <w:name w:val="toc 5"/>
    <w:basedOn w:val="1"/>
    <w:next w:val="1"/>
    <w:autoRedefine/>
    <w:unhideWhenUsed/>
    <w:qFormat/>
    <w:uiPriority w:val="0"/>
    <w:pPr>
      <w:ind w:left="1680" w:leftChars="800"/>
    </w:pPr>
    <w:rPr>
      <w:rFonts w:ascii="楷体_GB2312" w:hAnsi="楷体_GB2312"/>
      <w:szCs w:val="22"/>
    </w:rPr>
  </w:style>
  <w:style w:type="paragraph" w:styleId="23">
    <w:name w:val="toc 3"/>
    <w:basedOn w:val="1"/>
    <w:next w:val="1"/>
    <w:autoRedefine/>
    <w:qFormat/>
    <w:uiPriority w:val="0"/>
    <w:pPr>
      <w:tabs>
        <w:tab w:val="left" w:pos="1400"/>
        <w:tab w:val="right" w:leader="dot" w:pos="9060"/>
      </w:tabs>
      <w:autoSpaceDE w:val="0"/>
      <w:autoSpaceDN w:val="0"/>
      <w:adjustRightInd w:val="0"/>
      <w:spacing w:line="315" w:lineRule="atLeast"/>
      <w:ind w:left="800"/>
      <w:jc w:val="left"/>
    </w:pPr>
    <w:rPr>
      <w:rFonts w:eastAsia="Cambria Math"/>
      <w:i/>
      <w:kern w:val="0"/>
      <w:sz w:val="24"/>
      <w:szCs w:val="20"/>
    </w:rPr>
  </w:style>
  <w:style w:type="paragraph" w:styleId="24">
    <w:name w:val="Plain Text"/>
    <w:basedOn w:val="1"/>
    <w:link w:val="106"/>
    <w:autoRedefine/>
    <w:qFormat/>
    <w:uiPriority w:val="0"/>
    <w:rPr>
      <w:rFonts w:ascii="EYInterstate Light" w:hAnsi="中圆体"/>
      <w:szCs w:val="20"/>
      <w:lang w:val="zh-CN"/>
    </w:rPr>
  </w:style>
  <w:style w:type="paragraph" w:styleId="25">
    <w:name w:val="toc 8"/>
    <w:basedOn w:val="1"/>
    <w:next w:val="1"/>
    <w:autoRedefine/>
    <w:unhideWhenUsed/>
    <w:qFormat/>
    <w:uiPriority w:val="0"/>
    <w:pPr>
      <w:ind w:left="2940" w:leftChars="1400"/>
    </w:pPr>
    <w:rPr>
      <w:rFonts w:ascii="楷体_GB2312" w:hAnsi="楷体_GB2312"/>
      <w:szCs w:val="22"/>
    </w:rPr>
  </w:style>
  <w:style w:type="paragraph" w:styleId="26">
    <w:name w:val="Date"/>
    <w:basedOn w:val="1"/>
    <w:next w:val="1"/>
    <w:link w:val="78"/>
    <w:autoRedefine/>
    <w:qFormat/>
    <w:uiPriority w:val="0"/>
    <w:pPr>
      <w:ind w:left="100" w:leftChars="2500"/>
    </w:pPr>
    <w:rPr>
      <w:szCs w:val="20"/>
    </w:rPr>
  </w:style>
  <w:style w:type="paragraph" w:styleId="27">
    <w:name w:val="Body Text Indent 2"/>
    <w:basedOn w:val="1"/>
    <w:link w:val="138"/>
    <w:autoRedefine/>
    <w:qFormat/>
    <w:uiPriority w:val="0"/>
    <w:pPr>
      <w:spacing w:line="480" w:lineRule="auto"/>
      <w:ind w:firstLine="480" w:firstLineChars="200"/>
    </w:pPr>
    <w:rPr>
      <w:rFonts w:ascii="等线 Light" w:hAnsi="EYInterstate Light" w:eastAsia="等线 Light" w:cs="Times New Roman"/>
      <w:sz w:val="24"/>
      <w:lang w:val="zh-CN"/>
    </w:rPr>
  </w:style>
  <w:style w:type="paragraph" w:styleId="28">
    <w:name w:val="Balloon Text"/>
    <w:basedOn w:val="1"/>
    <w:link w:val="66"/>
    <w:autoRedefine/>
    <w:qFormat/>
    <w:uiPriority w:val="0"/>
    <w:rPr>
      <w:rFonts w:cs="Times New Roman"/>
      <w:sz w:val="18"/>
      <w:szCs w:val="18"/>
      <w:lang w:val="zh-CN"/>
    </w:rPr>
  </w:style>
  <w:style w:type="paragraph" w:styleId="29">
    <w:name w:val="footer"/>
    <w:basedOn w:val="1"/>
    <w:link w:val="74"/>
    <w:autoRedefine/>
    <w:qFormat/>
    <w:uiPriority w:val="99"/>
    <w:pPr>
      <w:tabs>
        <w:tab w:val="center" w:pos="4153"/>
        <w:tab w:val="right" w:pos="8306"/>
      </w:tabs>
      <w:snapToGrid w:val="0"/>
      <w:jc w:val="left"/>
    </w:pPr>
    <w:rPr>
      <w:sz w:val="18"/>
      <w:szCs w:val="18"/>
      <w:lang w:val="zh-CN"/>
    </w:rPr>
  </w:style>
  <w:style w:type="paragraph" w:styleId="30">
    <w:name w:val="header"/>
    <w:basedOn w:val="1"/>
    <w:link w:val="87"/>
    <w:autoRedefine/>
    <w:qFormat/>
    <w:uiPriority w:val="99"/>
    <w:pPr>
      <w:pBdr>
        <w:bottom w:val="single" w:color="auto" w:sz="6" w:space="1"/>
      </w:pBdr>
      <w:tabs>
        <w:tab w:val="center" w:pos="4153"/>
        <w:tab w:val="right" w:pos="8306"/>
      </w:tabs>
      <w:snapToGrid w:val="0"/>
      <w:jc w:val="center"/>
    </w:pPr>
    <w:rPr>
      <w:sz w:val="18"/>
      <w:szCs w:val="18"/>
      <w:lang w:val="zh-CN"/>
    </w:rPr>
  </w:style>
  <w:style w:type="paragraph" w:styleId="31">
    <w:name w:val="toc 1"/>
    <w:basedOn w:val="1"/>
    <w:next w:val="1"/>
    <w:autoRedefine/>
    <w:qFormat/>
    <w:uiPriority w:val="0"/>
    <w:pPr>
      <w:tabs>
        <w:tab w:val="left" w:pos="360"/>
        <w:tab w:val="right" w:leader="dot" w:pos="8280"/>
      </w:tabs>
      <w:autoSpaceDE w:val="0"/>
      <w:autoSpaceDN w:val="0"/>
      <w:adjustRightInd w:val="0"/>
      <w:spacing w:before="120" w:after="120" w:line="315" w:lineRule="atLeast"/>
      <w:ind w:right="120"/>
      <w:jc w:val="right"/>
    </w:pPr>
    <w:rPr>
      <w:rFonts w:ascii="EYInterstate Light" w:hAnsi="EYInterstate Light" w:eastAsia="华文细黑"/>
      <w:caps/>
      <w:kern w:val="0"/>
      <w:szCs w:val="21"/>
    </w:rPr>
  </w:style>
  <w:style w:type="paragraph" w:styleId="32">
    <w:name w:val="toc 4"/>
    <w:basedOn w:val="1"/>
    <w:next w:val="1"/>
    <w:autoRedefine/>
    <w:unhideWhenUsed/>
    <w:qFormat/>
    <w:uiPriority w:val="0"/>
    <w:pPr>
      <w:ind w:left="1260" w:leftChars="600"/>
    </w:pPr>
    <w:rPr>
      <w:rFonts w:ascii="楷体_GB2312" w:hAnsi="楷体_GB2312"/>
      <w:szCs w:val="22"/>
    </w:rPr>
  </w:style>
  <w:style w:type="paragraph" w:styleId="33">
    <w:name w:val="Subtitle"/>
    <w:basedOn w:val="1"/>
    <w:next w:val="1"/>
    <w:link w:val="65"/>
    <w:autoRedefine/>
    <w:qFormat/>
    <w:uiPriority w:val="0"/>
    <w:pPr>
      <w:spacing w:before="240" w:after="60" w:line="312" w:lineRule="auto"/>
      <w:jc w:val="center"/>
      <w:outlineLvl w:val="1"/>
    </w:pPr>
    <w:rPr>
      <w:rFonts w:ascii="EYInterstate Light"/>
      <w:sz w:val="18"/>
      <w:szCs w:val="18"/>
      <w:lang w:val="zh-CN"/>
    </w:rPr>
  </w:style>
  <w:style w:type="paragraph" w:styleId="34">
    <w:name w:val="List"/>
    <w:basedOn w:val="1"/>
    <w:autoRedefine/>
    <w:qFormat/>
    <w:uiPriority w:val="0"/>
    <w:pPr>
      <w:ind w:left="200" w:hanging="200" w:hangingChars="200"/>
    </w:pPr>
  </w:style>
  <w:style w:type="paragraph" w:styleId="35">
    <w:name w:val="footnote text"/>
    <w:basedOn w:val="1"/>
    <w:link w:val="108"/>
    <w:autoRedefine/>
    <w:qFormat/>
    <w:uiPriority w:val="0"/>
    <w:rPr>
      <w:rFonts w:cs="Times New Roman"/>
      <w:sz w:val="20"/>
      <w:szCs w:val="20"/>
      <w:lang w:val="zh-CN"/>
    </w:rPr>
  </w:style>
  <w:style w:type="paragraph" w:styleId="36">
    <w:name w:val="toc 6"/>
    <w:basedOn w:val="1"/>
    <w:next w:val="1"/>
    <w:autoRedefine/>
    <w:unhideWhenUsed/>
    <w:qFormat/>
    <w:uiPriority w:val="0"/>
    <w:pPr>
      <w:ind w:left="2100" w:leftChars="1000"/>
    </w:pPr>
    <w:rPr>
      <w:rFonts w:ascii="楷体_GB2312" w:hAnsi="楷体_GB2312"/>
      <w:szCs w:val="22"/>
    </w:rPr>
  </w:style>
  <w:style w:type="paragraph" w:styleId="37">
    <w:name w:val="Body Text Indent 3"/>
    <w:basedOn w:val="1"/>
    <w:link w:val="104"/>
    <w:autoRedefine/>
    <w:qFormat/>
    <w:uiPriority w:val="0"/>
    <w:pPr>
      <w:spacing w:after="120" w:line="360" w:lineRule="atLeast"/>
      <w:ind w:firstLine="720" w:firstLineChars="300"/>
    </w:pPr>
    <w:rPr>
      <w:rFonts w:cs="Times New Roman"/>
      <w:sz w:val="24"/>
      <w:szCs w:val="20"/>
      <w:lang w:val="zh-CN"/>
    </w:rPr>
  </w:style>
  <w:style w:type="paragraph" w:styleId="38">
    <w:name w:val="table of figures"/>
    <w:basedOn w:val="1"/>
    <w:next w:val="1"/>
    <w:autoRedefine/>
    <w:qFormat/>
    <w:uiPriority w:val="0"/>
    <w:pPr>
      <w:ind w:left="200" w:leftChars="200" w:hanging="200" w:hangingChars="200"/>
    </w:pPr>
  </w:style>
  <w:style w:type="paragraph" w:styleId="39">
    <w:name w:val="toc 2"/>
    <w:basedOn w:val="1"/>
    <w:next w:val="1"/>
    <w:autoRedefine/>
    <w:qFormat/>
    <w:uiPriority w:val="0"/>
    <w:pPr>
      <w:tabs>
        <w:tab w:val="left" w:pos="360"/>
        <w:tab w:val="right" w:leader="dot" w:pos="8460"/>
        <w:tab w:val="right" w:leader="dot" w:pos="9540"/>
      </w:tabs>
      <w:autoSpaceDE w:val="0"/>
      <w:autoSpaceDN w:val="0"/>
      <w:adjustRightInd w:val="0"/>
      <w:spacing w:line="315" w:lineRule="atLeast"/>
      <w:jc w:val="left"/>
    </w:pPr>
    <w:rPr>
      <w:rFonts w:ascii="Century Gothic" w:hAnsi="Century Gothic" w:eastAsia="Century Gothic"/>
      <w:b/>
      <w:smallCaps/>
      <w:color w:val="000000"/>
      <w:kern w:val="0"/>
      <w:sz w:val="20"/>
      <w:szCs w:val="20"/>
    </w:rPr>
  </w:style>
  <w:style w:type="paragraph" w:styleId="40">
    <w:name w:val="toc 9"/>
    <w:basedOn w:val="1"/>
    <w:next w:val="1"/>
    <w:autoRedefine/>
    <w:unhideWhenUsed/>
    <w:qFormat/>
    <w:uiPriority w:val="0"/>
    <w:pPr>
      <w:ind w:left="3360" w:leftChars="1600"/>
    </w:pPr>
    <w:rPr>
      <w:rFonts w:ascii="楷体_GB2312" w:hAnsi="楷体_GB2312"/>
      <w:szCs w:val="22"/>
    </w:rPr>
  </w:style>
  <w:style w:type="paragraph" w:styleId="41">
    <w:name w:val="Body Text 2"/>
    <w:basedOn w:val="1"/>
    <w:link w:val="164"/>
    <w:autoRedefine/>
    <w:qFormat/>
    <w:uiPriority w:val="0"/>
    <w:pPr>
      <w:spacing w:line="120" w:lineRule="atLeast"/>
    </w:pPr>
    <w:rPr>
      <w:rFonts w:cs="Times New Roman"/>
      <w:sz w:val="24"/>
      <w:szCs w:val="20"/>
      <w:lang w:val="zh-CN"/>
    </w:rPr>
  </w:style>
  <w:style w:type="paragraph" w:styleId="42">
    <w:name w:val="Normal (Web)"/>
    <w:basedOn w:val="1"/>
    <w:link w:val="159"/>
    <w:autoRedefine/>
    <w:qFormat/>
    <w:uiPriority w:val="0"/>
    <w:pPr>
      <w:widowControl/>
      <w:spacing w:before="100" w:beforeAutospacing="1" w:after="100" w:afterAutospacing="1"/>
      <w:jc w:val="left"/>
    </w:pPr>
    <w:rPr>
      <w:rFonts w:ascii="楷体_GB2312" w:hAnsi="楷体_GB2312" w:cs="Times New Roman"/>
      <w:kern w:val="0"/>
      <w:sz w:val="24"/>
      <w:lang w:val="zh-CN"/>
    </w:rPr>
  </w:style>
  <w:style w:type="paragraph" w:styleId="43">
    <w:name w:val="Title"/>
    <w:basedOn w:val="1"/>
    <w:next w:val="1"/>
    <w:link w:val="96"/>
    <w:autoRedefine/>
    <w:qFormat/>
    <w:uiPriority w:val="0"/>
    <w:pPr>
      <w:spacing w:before="240" w:after="60"/>
      <w:jc w:val="center"/>
      <w:outlineLvl w:val="0"/>
    </w:pPr>
    <w:rPr>
      <w:rFonts w:ascii="等线" w:hAnsi="等线" w:cs="Times New Roman"/>
      <w:b/>
      <w:bCs/>
      <w:sz w:val="32"/>
      <w:szCs w:val="32"/>
      <w:lang w:val="zh-CN"/>
    </w:rPr>
  </w:style>
  <w:style w:type="paragraph" w:styleId="44">
    <w:name w:val="annotation subject"/>
    <w:basedOn w:val="14"/>
    <w:next w:val="14"/>
    <w:link w:val="148"/>
    <w:autoRedefine/>
    <w:qFormat/>
    <w:uiPriority w:val="99"/>
    <w:rPr>
      <w:b/>
      <w:bCs/>
      <w:szCs w:val="20"/>
    </w:rPr>
  </w:style>
  <w:style w:type="paragraph" w:styleId="45">
    <w:name w:val="Body Text First Indent 2"/>
    <w:basedOn w:val="18"/>
    <w:link w:val="131"/>
    <w:autoRedefine/>
    <w:qFormat/>
    <w:uiPriority w:val="0"/>
    <w:pPr>
      <w:autoSpaceDE/>
      <w:autoSpaceDN/>
      <w:adjustRightInd/>
      <w:spacing w:line="240" w:lineRule="auto"/>
      <w:ind w:left="420" w:leftChars="200" w:firstLine="420" w:firstLineChars="200"/>
      <w:jc w:val="left"/>
    </w:pPr>
    <w:rPr>
      <w:sz w:val="22"/>
      <w:szCs w:val="22"/>
      <w:lang w:eastAsia="en-US"/>
    </w:rPr>
  </w:style>
  <w:style w:type="table" w:styleId="47">
    <w:name w:val="Table Grid"/>
    <w:basedOn w:val="4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page number"/>
    <w:basedOn w:val="48"/>
    <w:autoRedefine/>
    <w:qFormat/>
    <w:uiPriority w:val="0"/>
  </w:style>
  <w:style w:type="character" w:styleId="51">
    <w:name w:val="Emphasis"/>
    <w:autoRedefine/>
    <w:qFormat/>
    <w:uiPriority w:val="0"/>
    <w:rPr>
      <w:rFonts w:ascii="楷体_GB2312" w:hAnsi="楷体_GB2312"/>
      <w:b/>
      <w:i/>
      <w:iCs/>
    </w:rPr>
  </w:style>
  <w:style w:type="character" w:styleId="52">
    <w:name w:val="Hyperlink"/>
    <w:autoRedefine/>
    <w:unhideWhenUsed/>
    <w:qFormat/>
    <w:uiPriority w:val="99"/>
    <w:rPr>
      <w:color w:val="0000FF"/>
      <w:u w:val="single"/>
    </w:rPr>
  </w:style>
  <w:style w:type="character" w:styleId="53">
    <w:name w:val="annotation reference"/>
    <w:autoRedefine/>
    <w:qFormat/>
    <w:uiPriority w:val="0"/>
    <w:rPr>
      <w:sz w:val="21"/>
      <w:szCs w:val="21"/>
    </w:rPr>
  </w:style>
  <w:style w:type="character" w:styleId="54">
    <w:name w:val="footnote reference"/>
    <w:autoRedefine/>
    <w:qFormat/>
    <w:uiPriority w:val="0"/>
    <w:rPr>
      <w:vertAlign w:val="superscript"/>
    </w:rPr>
  </w:style>
  <w:style w:type="character" w:customStyle="1" w:styleId="55">
    <w:name w:val="已访问的超链接1"/>
    <w:autoRedefine/>
    <w:qFormat/>
    <w:uiPriority w:val="99"/>
    <w:rPr>
      <w:color w:val="800080"/>
      <w:u w:val="single"/>
    </w:rPr>
  </w:style>
  <w:style w:type="character" w:customStyle="1" w:styleId="56">
    <w:name w:val="zbggmain style9"/>
    <w:basedOn w:val="48"/>
    <w:autoRedefine/>
    <w:qFormat/>
    <w:uiPriority w:val="0"/>
  </w:style>
  <w:style w:type="character" w:customStyle="1" w:styleId="57">
    <w:name w:val="标题 1 Char1"/>
    <w:link w:val="2"/>
    <w:autoRedefine/>
    <w:qFormat/>
    <w:uiPriority w:val="0"/>
    <w:rPr>
      <w:rFonts w:eastAsia="黑体"/>
      <w:b/>
      <w:bCs/>
      <w:kern w:val="44"/>
      <w:sz w:val="44"/>
      <w:szCs w:val="44"/>
      <w:lang w:val="en-US" w:eastAsia="zh-CN" w:bidi="ar-SA"/>
    </w:rPr>
  </w:style>
  <w:style w:type="character" w:customStyle="1" w:styleId="58">
    <w:name w:val="Char Char1"/>
    <w:autoRedefine/>
    <w:qFormat/>
    <w:uiPriority w:val="0"/>
    <w:rPr>
      <w:rFonts w:ascii="Cambria Math" w:eastAsia="Cambria Math"/>
      <w:sz w:val="28"/>
    </w:rPr>
  </w:style>
  <w:style w:type="character" w:customStyle="1" w:styleId="59">
    <w:name w:val="文档结构图 Char"/>
    <w:link w:val="13"/>
    <w:autoRedefine/>
    <w:qFormat/>
    <w:locked/>
    <w:uiPriority w:val="0"/>
    <w:rPr>
      <w:rFonts w:ascii="EYInterstate Light" w:eastAsia="EYInterstate Light"/>
      <w:kern w:val="2"/>
      <w:sz w:val="18"/>
      <w:szCs w:val="18"/>
      <w:lang w:val="en-US" w:eastAsia="zh-CN" w:bidi="ar-SA"/>
    </w:rPr>
  </w:style>
  <w:style w:type="character" w:customStyle="1" w:styleId="60">
    <w:name w:val="标题 4 Char Char"/>
    <w:autoRedefine/>
    <w:qFormat/>
    <w:uiPriority w:val="0"/>
    <w:rPr>
      <w:rFonts w:ascii="华文细黑" w:eastAsia="华文细黑"/>
      <w:b/>
      <w:kern w:val="2"/>
      <w:sz w:val="24"/>
      <w:lang w:val="en-US" w:eastAsia="zh-CN" w:bidi="ar-SA"/>
    </w:rPr>
  </w:style>
  <w:style w:type="character" w:customStyle="1" w:styleId="61">
    <w:name w:val="批注主题 Char"/>
    <w:autoRedefine/>
    <w:qFormat/>
    <w:uiPriority w:val="0"/>
    <w:rPr>
      <w:rFonts w:ascii="楷体_GB2312" w:hAnsi="楷体_GB2312"/>
      <w:b/>
      <w:bCs/>
      <w:kern w:val="2"/>
      <w:sz w:val="21"/>
      <w:szCs w:val="24"/>
    </w:rPr>
  </w:style>
  <w:style w:type="character" w:customStyle="1" w:styleId="62">
    <w:name w:val="Section Head Char1"/>
    <w:autoRedefine/>
    <w:qFormat/>
    <w:uiPriority w:val="0"/>
    <w:rPr>
      <w:rFonts w:eastAsia="华文细黑"/>
      <w:b/>
      <w:bCs/>
      <w:snapToGrid w:val="0"/>
      <w:kern w:val="44"/>
      <w:sz w:val="36"/>
      <w:szCs w:val="44"/>
      <w:lang w:val="en-US" w:eastAsia="zh-CN" w:bidi="ar-SA"/>
    </w:rPr>
  </w:style>
  <w:style w:type="character" w:customStyle="1" w:styleId="63">
    <w:name w:val="Char Char20"/>
    <w:autoRedefine/>
    <w:qFormat/>
    <w:uiPriority w:val="0"/>
    <w:rPr>
      <w:rFonts w:ascii="Verdana" w:hAnsi="Verdana" w:eastAsia="华文细黑"/>
      <w:sz w:val="24"/>
      <w:szCs w:val="24"/>
    </w:rPr>
  </w:style>
  <w:style w:type="character" w:customStyle="1" w:styleId="64">
    <w:name w:val="正文2 Char Char"/>
    <w:autoRedefine/>
    <w:qFormat/>
    <w:uiPriority w:val="0"/>
    <w:rPr>
      <w:rFonts w:eastAsia="宋体"/>
      <w:sz w:val="24"/>
    </w:rPr>
  </w:style>
  <w:style w:type="character" w:customStyle="1" w:styleId="65">
    <w:name w:val="副标题 Char"/>
    <w:link w:val="33"/>
    <w:autoRedefine/>
    <w:qFormat/>
    <w:uiPriority w:val="0"/>
    <w:rPr>
      <w:rFonts w:ascii="EYInterstate Light"/>
      <w:kern w:val="2"/>
      <w:sz w:val="18"/>
      <w:szCs w:val="18"/>
      <w:lang w:bidi="ar-SA"/>
    </w:rPr>
  </w:style>
  <w:style w:type="character" w:customStyle="1" w:styleId="66">
    <w:name w:val="批注框文本 Char"/>
    <w:link w:val="28"/>
    <w:autoRedefine/>
    <w:qFormat/>
    <w:uiPriority w:val="0"/>
    <w:rPr>
      <w:kern w:val="2"/>
      <w:sz w:val="18"/>
      <w:szCs w:val="18"/>
    </w:rPr>
  </w:style>
  <w:style w:type="character" w:customStyle="1" w:styleId="67">
    <w:name w:val="副标题 字符1"/>
    <w:autoRedefine/>
    <w:qFormat/>
    <w:uiPriority w:val="11"/>
    <w:rPr>
      <w:b/>
      <w:bCs/>
      <w:kern w:val="28"/>
      <w:sz w:val="32"/>
      <w:szCs w:val="32"/>
    </w:rPr>
  </w:style>
  <w:style w:type="character" w:customStyle="1" w:styleId="68">
    <w:name w:val="页脚 Char"/>
    <w:autoRedefine/>
    <w:qFormat/>
    <w:uiPriority w:val="99"/>
    <w:rPr>
      <w:sz w:val="18"/>
      <w:szCs w:val="18"/>
    </w:rPr>
  </w:style>
  <w:style w:type="character" w:customStyle="1" w:styleId="69">
    <w:name w:val="条标题1.1.1 Char"/>
    <w:autoRedefine/>
    <w:qFormat/>
    <w:uiPriority w:val="0"/>
    <w:rPr>
      <w:rFonts w:ascii="EYInterstate Light" w:eastAsia="EYInterstate Light"/>
      <w:b/>
      <w:bCs/>
      <w:kern w:val="2"/>
      <w:sz w:val="28"/>
      <w:lang w:val="en-US" w:eastAsia="zh-CN" w:bidi="ar-SA"/>
    </w:rPr>
  </w:style>
  <w:style w:type="character" w:customStyle="1" w:styleId="70">
    <w:name w:val="Char Char17"/>
    <w:autoRedefine/>
    <w:qFormat/>
    <w:locked/>
    <w:uiPriority w:val="0"/>
    <w:rPr>
      <w:kern w:val="2"/>
      <w:sz w:val="18"/>
      <w:szCs w:val="18"/>
    </w:rPr>
  </w:style>
  <w:style w:type="character" w:customStyle="1" w:styleId="71">
    <w:name w:val="Char Char171"/>
    <w:autoRedefine/>
    <w:qFormat/>
    <w:locked/>
    <w:uiPriority w:val="0"/>
    <w:rPr>
      <w:kern w:val="2"/>
      <w:sz w:val="18"/>
      <w:szCs w:val="18"/>
    </w:rPr>
  </w:style>
  <w:style w:type="character" w:customStyle="1" w:styleId="72">
    <w:name w:val="标题 9 Char"/>
    <w:link w:val="11"/>
    <w:autoRedefine/>
    <w:qFormat/>
    <w:uiPriority w:val="0"/>
    <w:rPr>
      <w:rFonts w:ascii="Verdana" w:hAnsi="Verdana" w:eastAsia="华文细黑"/>
      <w:kern w:val="2"/>
      <w:sz w:val="21"/>
      <w:szCs w:val="21"/>
      <w:lang w:bidi="ar-SA"/>
    </w:rPr>
  </w:style>
  <w:style w:type="character" w:customStyle="1" w:styleId="73">
    <w:name w:val="Char Char18"/>
    <w:autoRedefine/>
    <w:qFormat/>
    <w:locked/>
    <w:uiPriority w:val="0"/>
    <w:rPr>
      <w:kern w:val="2"/>
      <w:sz w:val="18"/>
      <w:szCs w:val="18"/>
    </w:rPr>
  </w:style>
  <w:style w:type="character" w:customStyle="1" w:styleId="74">
    <w:name w:val="页脚 Char1"/>
    <w:link w:val="29"/>
    <w:autoRedefine/>
    <w:qFormat/>
    <w:uiPriority w:val="99"/>
    <w:rPr>
      <w:kern w:val="2"/>
      <w:sz w:val="18"/>
      <w:szCs w:val="18"/>
      <w:lang w:bidi="ar-SA"/>
    </w:rPr>
  </w:style>
  <w:style w:type="character" w:customStyle="1" w:styleId="75">
    <w:name w:val="Char Char19"/>
    <w:autoRedefine/>
    <w:qFormat/>
    <w:uiPriority w:val="0"/>
    <w:rPr>
      <w:rFonts w:ascii="Verdana" w:hAnsi="Verdana" w:eastAsia="华文细黑"/>
      <w:sz w:val="21"/>
      <w:szCs w:val="21"/>
    </w:rPr>
  </w:style>
  <w:style w:type="character" w:customStyle="1" w:styleId="76">
    <w:name w:val="称呼 Char"/>
    <w:link w:val="15"/>
    <w:autoRedefine/>
    <w:qFormat/>
    <w:uiPriority w:val="0"/>
    <w:rPr>
      <w:kern w:val="2"/>
      <w:sz w:val="24"/>
      <w:szCs w:val="24"/>
    </w:rPr>
  </w:style>
  <w:style w:type="character" w:customStyle="1" w:styleId="77">
    <w:name w:val="标题 6 Char"/>
    <w:link w:val="8"/>
    <w:autoRedefine/>
    <w:qFormat/>
    <w:uiPriority w:val="0"/>
    <w:rPr>
      <w:rFonts w:ascii="Verdana" w:hAnsi="Verdana" w:eastAsia="华文细黑"/>
      <w:b/>
      <w:bCs/>
      <w:kern w:val="2"/>
      <w:sz w:val="24"/>
      <w:szCs w:val="24"/>
      <w:lang w:bidi="ar-SA"/>
    </w:rPr>
  </w:style>
  <w:style w:type="character" w:customStyle="1" w:styleId="78">
    <w:name w:val="日期 Char"/>
    <w:link w:val="26"/>
    <w:autoRedefine/>
    <w:qFormat/>
    <w:locked/>
    <w:uiPriority w:val="0"/>
    <w:rPr>
      <w:rFonts w:eastAsia="EYInterstate Light"/>
      <w:kern w:val="2"/>
      <w:sz w:val="21"/>
      <w:lang w:val="en-US" w:eastAsia="zh-CN" w:bidi="ar-SA"/>
    </w:rPr>
  </w:style>
  <w:style w:type="character" w:customStyle="1" w:styleId="79">
    <w:name w:val="Char Char191"/>
    <w:autoRedefine/>
    <w:qFormat/>
    <w:uiPriority w:val="0"/>
    <w:rPr>
      <w:rFonts w:ascii="Verdana" w:hAnsi="Verdana" w:eastAsia="华文细黑"/>
      <w:sz w:val="21"/>
      <w:szCs w:val="21"/>
    </w:rPr>
  </w:style>
  <w:style w:type="character" w:customStyle="1" w:styleId="80">
    <w:name w:val="L1 Heading 8 Char Char"/>
    <w:autoRedefine/>
    <w:qFormat/>
    <w:uiPriority w:val="0"/>
    <w:rPr>
      <w:rFonts w:ascii="Verdana" w:hAnsi="Verdana" w:eastAsia="华文细黑"/>
      <w:kern w:val="2"/>
      <w:sz w:val="24"/>
      <w:lang w:val="en-US" w:eastAsia="zh-CN" w:bidi="ar-SA"/>
    </w:rPr>
  </w:style>
  <w:style w:type="character" w:customStyle="1" w:styleId="81">
    <w:name w:val="标题 Char1"/>
    <w:autoRedefine/>
    <w:qFormat/>
    <w:uiPriority w:val="0"/>
    <w:rPr>
      <w:rFonts w:ascii="Times New Roman" w:hAnsi="Times New Roman" w:eastAsia="宋体" w:cs="Times New Roman"/>
      <w:b/>
      <w:kern w:val="0"/>
      <w:sz w:val="24"/>
      <w:szCs w:val="20"/>
      <w:lang w:val="en-GB"/>
    </w:rPr>
  </w:style>
  <w:style w:type="character" w:customStyle="1" w:styleId="82">
    <w:name w:val="标题 字符1"/>
    <w:autoRedefine/>
    <w:qFormat/>
    <w:uiPriority w:val="10"/>
    <w:rPr>
      <w:rFonts w:ascii="等线" w:hAnsi="等线" w:eastAsia="EYInterstate Light" w:cs="Tahoma"/>
      <w:b/>
      <w:bCs/>
      <w:sz w:val="32"/>
      <w:szCs w:val="32"/>
    </w:rPr>
  </w:style>
  <w:style w:type="character" w:customStyle="1" w:styleId="83">
    <w:name w:val="L1 Heading 7 Char Char"/>
    <w:autoRedefine/>
    <w:qFormat/>
    <w:uiPriority w:val="0"/>
    <w:rPr>
      <w:rFonts w:eastAsia="EYInterstate Light"/>
      <w:b/>
      <w:kern w:val="2"/>
      <w:sz w:val="24"/>
      <w:lang w:val="en-US" w:eastAsia="zh-CN" w:bidi="ar-SA"/>
    </w:rPr>
  </w:style>
  <w:style w:type="character" w:customStyle="1" w:styleId="84">
    <w:name w:val="Char Char26"/>
    <w:autoRedefine/>
    <w:qFormat/>
    <w:uiPriority w:val="0"/>
    <w:rPr>
      <w:rFonts w:ascii="Verdana" w:hAnsi="Verdana" w:eastAsia="华文细黑"/>
      <w:b/>
      <w:bCs/>
      <w:kern w:val="2"/>
      <w:sz w:val="32"/>
      <w:szCs w:val="32"/>
    </w:rPr>
  </w:style>
  <w:style w:type="character" w:customStyle="1" w:styleId="85">
    <w:name w:val="Char Char21"/>
    <w:autoRedefine/>
    <w:qFormat/>
    <w:uiPriority w:val="0"/>
    <w:rPr>
      <w:b/>
      <w:bCs/>
      <w:sz w:val="24"/>
      <w:szCs w:val="24"/>
    </w:rPr>
  </w:style>
  <w:style w:type="character" w:customStyle="1" w:styleId="86">
    <w:name w:val="Char Char22"/>
    <w:autoRedefine/>
    <w:qFormat/>
    <w:uiPriority w:val="0"/>
    <w:rPr>
      <w:rFonts w:ascii="Verdana" w:hAnsi="Verdana" w:eastAsia="华文细黑"/>
      <w:b/>
      <w:bCs/>
      <w:sz w:val="24"/>
      <w:szCs w:val="24"/>
    </w:rPr>
  </w:style>
  <w:style w:type="character" w:customStyle="1" w:styleId="87">
    <w:name w:val="页眉 Char1"/>
    <w:link w:val="30"/>
    <w:autoRedefine/>
    <w:qFormat/>
    <w:uiPriority w:val="99"/>
    <w:rPr>
      <w:kern w:val="2"/>
      <w:sz w:val="18"/>
      <w:szCs w:val="18"/>
      <w:lang w:bidi="ar-SA"/>
    </w:rPr>
  </w:style>
  <w:style w:type="character" w:customStyle="1" w:styleId="88">
    <w:name w:val="L1 Heading 9 Char Char"/>
    <w:autoRedefine/>
    <w:qFormat/>
    <w:uiPriority w:val="0"/>
    <w:rPr>
      <w:rFonts w:ascii="Verdana" w:hAnsi="Verdana" w:eastAsia="华文细黑"/>
      <w:kern w:val="2"/>
      <w:sz w:val="21"/>
      <w:lang w:val="en-US" w:eastAsia="zh-CN" w:bidi="ar-SA"/>
    </w:rPr>
  </w:style>
  <w:style w:type="character" w:customStyle="1" w:styleId="89">
    <w:name w:val="标题 2 Char1"/>
    <w:link w:val="3"/>
    <w:autoRedefine/>
    <w:qFormat/>
    <w:uiPriority w:val="0"/>
    <w:rPr>
      <w:rFonts w:ascii="Verdana" w:hAnsi="Verdana" w:eastAsia="宋体"/>
      <w:b/>
      <w:bCs/>
      <w:kern w:val="2"/>
      <w:sz w:val="32"/>
      <w:szCs w:val="32"/>
      <w:lang w:bidi="ar-SA"/>
    </w:rPr>
  </w:style>
  <w:style w:type="character" w:customStyle="1" w:styleId="90">
    <w:name w:val="页眉 Char"/>
    <w:autoRedefine/>
    <w:qFormat/>
    <w:uiPriority w:val="0"/>
    <w:rPr>
      <w:rFonts w:ascii="楷体_GB2312" w:hAnsi="楷体_GB2312"/>
      <w:kern w:val="2"/>
      <w:sz w:val="18"/>
      <w:szCs w:val="18"/>
    </w:rPr>
  </w:style>
  <w:style w:type="character" w:customStyle="1" w:styleId="91">
    <w:name w:val="Char Char25"/>
    <w:autoRedefine/>
    <w:qFormat/>
    <w:uiPriority w:val="0"/>
    <w:rPr>
      <w:rFonts w:eastAsia="华文细黑"/>
      <w:b/>
      <w:bCs/>
      <w:snapToGrid w:val="0"/>
      <w:kern w:val="44"/>
      <w:sz w:val="36"/>
      <w:szCs w:val="44"/>
      <w:lang w:val="en-US" w:eastAsia="zh-CN" w:bidi="ar-SA"/>
    </w:rPr>
  </w:style>
  <w:style w:type="character" w:customStyle="1" w:styleId="92">
    <w:name w:val="标题 1 Char"/>
    <w:autoRedefine/>
    <w:qFormat/>
    <w:uiPriority w:val="9"/>
    <w:rPr>
      <w:rFonts w:eastAsia="华文细黑"/>
      <w:b/>
      <w:bCs/>
      <w:snapToGrid w:val="0"/>
      <w:kern w:val="44"/>
      <w:sz w:val="36"/>
      <w:szCs w:val="44"/>
      <w:lang w:val="en-US" w:eastAsia="zh-CN" w:bidi="ar-SA"/>
    </w:rPr>
  </w:style>
  <w:style w:type="character" w:customStyle="1" w:styleId="93">
    <w:name w:val="标题 3 Char"/>
    <w:link w:val="4"/>
    <w:autoRedefine/>
    <w:qFormat/>
    <w:uiPriority w:val="9"/>
    <w:rPr>
      <w:rFonts w:ascii="华文细黑" w:eastAsia="华文细黑"/>
      <w:sz w:val="28"/>
      <w:lang w:bidi="ar-SA"/>
    </w:rPr>
  </w:style>
  <w:style w:type="character" w:customStyle="1" w:styleId="94">
    <w:name w:val="正文文本 Char"/>
    <w:link w:val="17"/>
    <w:autoRedefine/>
    <w:qFormat/>
    <w:locked/>
    <w:uiPriority w:val="99"/>
    <w:rPr>
      <w:rFonts w:eastAsia="EYInterstate Light"/>
      <w:kern w:val="2"/>
      <w:sz w:val="28"/>
      <w:lang w:val="en-US" w:eastAsia="zh-CN" w:bidi="ar-SA"/>
    </w:rPr>
  </w:style>
  <w:style w:type="character" w:customStyle="1" w:styleId="95">
    <w:name w:val="Char Char23"/>
    <w:autoRedefine/>
    <w:qFormat/>
    <w:uiPriority w:val="0"/>
    <w:rPr>
      <w:b/>
      <w:bCs/>
      <w:kern w:val="2"/>
      <w:sz w:val="28"/>
      <w:szCs w:val="28"/>
    </w:rPr>
  </w:style>
  <w:style w:type="character" w:customStyle="1" w:styleId="96">
    <w:name w:val="标题 Char"/>
    <w:link w:val="43"/>
    <w:autoRedefine/>
    <w:qFormat/>
    <w:uiPriority w:val="0"/>
    <w:rPr>
      <w:rFonts w:ascii="等线" w:hAnsi="等线"/>
      <w:b/>
      <w:bCs/>
      <w:kern w:val="2"/>
      <w:sz w:val="32"/>
      <w:szCs w:val="32"/>
    </w:rPr>
  </w:style>
  <w:style w:type="character" w:customStyle="1" w:styleId="97">
    <w:name w:val="批注文字 Char"/>
    <w:autoRedefine/>
    <w:qFormat/>
    <w:uiPriority w:val="0"/>
    <w:rPr>
      <w:rFonts w:ascii="楷体_GB2312" w:hAnsi="楷体_GB2312"/>
      <w:kern w:val="2"/>
      <w:sz w:val="21"/>
      <w:szCs w:val="24"/>
    </w:rPr>
  </w:style>
  <w:style w:type="character" w:customStyle="1" w:styleId="98">
    <w:name w:val="纯文本 Char1"/>
    <w:autoRedefine/>
    <w:semiHidden/>
    <w:qFormat/>
    <w:uiPriority w:val="99"/>
    <w:rPr>
      <w:rFonts w:ascii="EYInterstate Light" w:hAnsi="中圆体" w:eastAsia="EYInterstate Light" w:cs="中圆体"/>
      <w:kern w:val="0"/>
      <w:szCs w:val="21"/>
    </w:rPr>
  </w:style>
  <w:style w:type="character" w:customStyle="1" w:styleId="99">
    <w:name w:val="newsitemtext1"/>
    <w:autoRedefine/>
    <w:qFormat/>
    <w:uiPriority w:val="0"/>
    <w:rPr>
      <w:color w:val="000000"/>
      <w:sz w:val="21"/>
      <w:szCs w:val="21"/>
    </w:rPr>
  </w:style>
  <w:style w:type="character" w:customStyle="1" w:styleId="100">
    <w:name w:val="样式 标题 5. (1.)L1 Heading 5h5h51h52h511h53h512h54h513h5... Char Char Char Char Char Char Char Char Char Char Char Char Char Char Char Char Char Char Char Char Char Char Char Char Char Char Char Char Char Char Char Char"/>
    <w:autoRedefine/>
    <w:qFormat/>
    <w:uiPriority w:val="0"/>
    <w:rPr>
      <w:rFonts w:eastAsia="EYInterstate Light"/>
      <w:b/>
      <w:bCs/>
      <w:snapToGrid w:val="0"/>
      <w:kern w:val="2"/>
      <w:sz w:val="24"/>
      <w:szCs w:val="24"/>
      <w:lang w:val="en-US" w:eastAsia="zh-CN" w:bidi="ar-SA"/>
    </w:rPr>
  </w:style>
  <w:style w:type="character" w:customStyle="1" w:styleId="101">
    <w:name w:val="Bullet copy Char"/>
    <w:link w:val="102"/>
    <w:autoRedefine/>
    <w:qFormat/>
    <w:uiPriority w:val="0"/>
    <w:rPr>
      <w:rFonts w:ascii="@楷体" w:hAnsi="@楷体" w:eastAsia="华文细黑" w:cs="@楷体"/>
      <w:sz w:val="18"/>
      <w:szCs w:val="18"/>
      <w:lang w:eastAsia="en-US"/>
    </w:rPr>
  </w:style>
  <w:style w:type="paragraph" w:customStyle="1" w:styleId="102">
    <w:name w:val="Bullet copy"/>
    <w:basedOn w:val="1"/>
    <w:link w:val="101"/>
    <w:autoRedefine/>
    <w:qFormat/>
    <w:uiPriority w:val="0"/>
    <w:pPr>
      <w:widowControl/>
      <w:spacing w:after="240" w:line="240" w:lineRule="exact"/>
      <w:jc w:val="left"/>
    </w:pPr>
    <w:rPr>
      <w:rFonts w:ascii="@楷体" w:hAnsi="@楷体" w:eastAsia="华文细黑" w:cs="Times New Roman"/>
      <w:kern w:val="0"/>
      <w:sz w:val="18"/>
      <w:szCs w:val="18"/>
      <w:lang w:val="zh-CN" w:eastAsia="en-US"/>
    </w:rPr>
  </w:style>
  <w:style w:type="character" w:customStyle="1" w:styleId="103">
    <w:name w:val="htd01"/>
    <w:basedOn w:val="48"/>
    <w:autoRedefine/>
    <w:qFormat/>
    <w:uiPriority w:val="0"/>
  </w:style>
  <w:style w:type="character" w:customStyle="1" w:styleId="104">
    <w:name w:val="正文文本缩进 3 Char"/>
    <w:link w:val="37"/>
    <w:autoRedefine/>
    <w:qFormat/>
    <w:uiPriority w:val="0"/>
    <w:rPr>
      <w:kern w:val="2"/>
      <w:sz w:val="24"/>
    </w:rPr>
  </w:style>
  <w:style w:type="character" w:customStyle="1" w:styleId="105">
    <w:name w:val="Char Char201"/>
    <w:autoRedefine/>
    <w:qFormat/>
    <w:uiPriority w:val="0"/>
    <w:rPr>
      <w:rFonts w:ascii="Verdana" w:hAnsi="Verdana" w:eastAsia="华文细黑"/>
      <w:sz w:val="24"/>
      <w:szCs w:val="24"/>
    </w:rPr>
  </w:style>
  <w:style w:type="character" w:customStyle="1" w:styleId="106">
    <w:name w:val="纯文本 Char2"/>
    <w:link w:val="24"/>
    <w:autoRedefine/>
    <w:qFormat/>
    <w:uiPriority w:val="0"/>
    <w:rPr>
      <w:rFonts w:ascii="EYInterstate Light" w:hAnsi="中圆体"/>
      <w:kern w:val="2"/>
      <w:sz w:val="21"/>
      <w:lang w:bidi="ar-SA"/>
    </w:rPr>
  </w:style>
  <w:style w:type="character" w:customStyle="1" w:styleId="107">
    <w:name w:val="批注文字 Char1"/>
    <w:autoRedefine/>
    <w:qFormat/>
    <w:uiPriority w:val="0"/>
    <w:rPr>
      <w:kern w:val="2"/>
      <w:sz w:val="21"/>
      <w:szCs w:val="24"/>
    </w:rPr>
  </w:style>
  <w:style w:type="character" w:customStyle="1" w:styleId="108">
    <w:name w:val="脚注文本 Char"/>
    <w:link w:val="35"/>
    <w:autoRedefine/>
    <w:qFormat/>
    <w:uiPriority w:val="0"/>
    <w:rPr>
      <w:kern w:val="2"/>
    </w:rPr>
  </w:style>
  <w:style w:type="character" w:customStyle="1" w:styleId="109">
    <w:name w:val="标题 8 Char"/>
    <w:link w:val="10"/>
    <w:autoRedefine/>
    <w:qFormat/>
    <w:uiPriority w:val="0"/>
    <w:rPr>
      <w:rFonts w:ascii="Verdana" w:hAnsi="Verdana" w:eastAsia="华文细黑"/>
      <w:kern w:val="2"/>
      <w:sz w:val="24"/>
      <w:szCs w:val="24"/>
      <w:lang w:bidi="ar-SA"/>
    </w:rPr>
  </w:style>
  <w:style w:type="character" w:customStyle="1" w:styleId="110">
    <w:name w:val="Char Char27"/>
    <w:autoRedefine/>
    <w:qFormat/>
    <w:uiPriority w:val="0"/>
    <w:rPr>
      <w:b/>
      <w:bCs/>
      <w:kern w:val="44"/>
      <w:sz w:val="44"/>
      <w:szCs w:val="44"/>
    </w:rPr>
  </w:style>
  <w:style w:type="character" w:customStyle="1" w:styleId="111">
    <w:name w:val="文档结构图 Char Char"/>
    <w:link w:val="112"/>
    <w:autoRedefine/>
    <w:qFormat/>
    <w:uiPriority w:val="0"/>
    <w:rPr>
      <w:rFonts w:ascii="EYInterstate Light"/>
      <w:kern w:val="2"/>
      <w:sz w:val="18"/>
      <w:szCs w:val="18"/>
      <w:lang w:bidi="ar-SA"/>
    </w:rPr>
  </w:style>
  <w:style w:type="paragraph" w:customStyle="1" w:styleId="112">
    <w:name w:val="文档结构图1"/>
    <w:basedOn w:val="1"/>
    <w:link w:val="111"/>
    <w:autoRedefine/>
    <w:qFormat/>
    <w:uiPriority w:val="0"/>
    <w:rPr>
      <w:rFonts w:ascii="EYInterstate Light"/>
      <w:sz w:val="18"/>
      <w:szCs w:val="18"/>
      <w:lang w:val="zh-CN"/>
    </w:rPr>
  </w:style>
  <w:style w:type="character" w:customStyle="1" w:styleId="113">
    <w:name w:val="个人答复风格"/>
    <w:autoRedefine/>
    <w:qFormat/>
    <w:uiPriority w:val="0"/>
    <w:rPr>
      <w:rFonts w:ascii="Verdana" w:hAnsi="Verdana" w:eastAsia="EYInterstate Light" w:cs="Verdana"/>
      <w:color w:val="auto"/>
      <w:sz w:val="20"/>
    </w:rPr>
  </w:style>
  <w:style w:type="character" w:customStyle="1" w:styleId="114">
    <w:name w:val="内文 Char"/>
    <w:link w:val="115"/>
    <w:autoRedefine/>
    <w:qFormat/>
    <w:uiPriority w:val="0"/>
    <w:rPr>
      <w:rFonts w:ascii="Verdana" w:hAnsi="Verdana"/>
      <w:kern w:val="2"/>
      <w:sz w:val="21"/>
      <w:lang w:val="en-US" w:eastAsia="zh-CN" w:bidi="ar-SA"/>
    </w:rPr>
  </w:style>
  <w:style w:type="paragraph" w:customStyle="1" w:styleId="115">
    <w:name w:val="内文"/>
    <w:link w:val="114"/>
    <w:autoRedefine/>
    <w:qFormat/>
    <w:uiPriority w:val="0"/>
    <w:pPr>
      <w:adjustRightInd w:val="0"/>
      <w:snapToGrid w:val="0"/>
      <w:spacing w:line="400" w:lineRule="exact"/>
      <w:ind w:firstLine="200" w:firstLineChars="200"/>
      <w:jc w:val="both"/>
    </w:pPr>
    <w:rPr>
      <w:rFonts w:ascii="Verdana" w:hAnsi="Verdana" w:eastAsia="EYInterstate Light" w:cs="Tahoma"/>
      <w:kern w:val="2"/>
      <w:sz w:val="21"/>
      <w:lang w:val="en-US" w:eastAsia="zh-CN" w:bidi="ar-SA"/>
    </w:rPr>
  </w:style>
  <w:style w:type="character" w:customStyle="1" w:styleId="116">
    <w:name w:val="个人撰写风格"/>
    <w:autoRedefine/>
    <w:qFormat/>
    <w:uiPriority w:val="0"/>
    <w:rPr>
      <w:rFonts w:ascii="Verdana" w:hAnsi="Verdana" w:eastAsia="EYInterstate Light" w:cs="Verdana"/>
      <w:color w:val="auto"/>
      <w:sz w:val="20"/>
    </w:rPr>
  </w:style>
  <w:style w:type="character" w:customStyle="1" w:styleId="117">
    <w:name w:val="批注文字 Char2"/>
    <w:link w:val="14"/>
    <w:autoRedefine/>
    <w:qFormat/>
    <w:uiPriority w:val="99"/>
    <w:rPr>
      <w:rFonts w:eastAsia="EYInterstate Light"/>
      <w:kern w:val="2"/>
      <w:sz w:val="21"/>
      <w:szCs w:val="24"/>
      <w:lang w:val="en-US" w:eastAsia="zh-CN" w:bidi="ar-SA"/>
    </w:rPr>
  </w:style>
  <w:style w:type="character" w:customStyle="1" w:styleId="118">
    <w:name w:val="正文2 Char"/>
    <w:link w:val="119"/>
    <w:autoRedefine/>
    <w:qFormat/>
    <w:uiPriority w:val="0"/>
    <w:rPr>
      <w:kern w:val="2"/>
      <w:sz w:val="24"/>
    </w:rPr>
  </w:style>
  <w:style w:type="paragraph" w:customStyle="1" w:styleId="119">
    <w:name w:val="正文2"/>
    <w:basedOn w:val="1"/>
    <w:link w:val="118"/>
    <w:autoRedefine/>
    <w:qFormat/>
    <w:uiPriority w:val="0"/>
    <w:pPr>
      <w:spacing w:before="156" w:line="360" w:lineRule="auto"/>
      <w:ind w:firstLine="510" w:firstLineChars="200"/>
    </w:pPr>
    <w:rPr>
      <w:rFonts w:cs="Times New Roman"/>
      <w:sz w:val="24"/>
      <w:szCs w:val="20"/>
      <w:lang w:val="zh-CN"/>
    </w:rPr>
  </w:style>
  <w:style w:type="character" w:customStyle="1" w:styleId="120">
    <w:name w:val="标题4 Char Char"/>
    <w:autoRedefine/>
    <w:qFormat/>
    <w:locked/>
    <w:uiPriority w:val="0"/>
    <w:rPr>
      <w:rFonts w:ascii="Verdana" w:hAnsi="Verdana"/>
      <w:b/>
      <w:sz w:val="32"/>
      <w:lang w:bidi="ar-SA"/>
    </w:rPr>
  </w:style>
  <w:style w:type="character" w:customStyle="1" w:styleId="121">
    <w:name w:val="副标题 Char1"/>
    <w:autoRedefine/>
    <w:qFormat/>
    <w:uiPriority w:val="0"/>
    <w:rPr>
      <w:rFonts w:ascii="等线" w:hAnsi="等线" w:cs="Tahoma"/>
      <w:b/>
      <w:bCs/>
      <w:kern w:val="28"/>
      <w:sz w:val="32"/>
      <w:szCs w:val="32"/>
    </w:rPr>
  </w:style>
  <w:style w:type="character" w:customStyle="1" w:styleId="122">
    <w:name w:val="纯文本 Char"/>
    <w:autoRedefine/>
    <w:qFormat/>
    <w:uiPriority w:val="0"/>
    <w:rPr>
      <w:rFonts w:ascii="EYInterstate Light" w:hAnsi="中圆体" w:eastAsia="EYInterstate Light" w:cs="中圆体"/>
      <w:snapToGrid w:val="0"/>
      <w:sz w:val="18"/>
      <w:szCs w:val="21"/>
      <w:lang w:val="en-US" w:eastAsia="zh-CN" w:bidi="ar-SA"/>
    </w:rPr>
  </w:style>
  <w:style w:type="character" w:customStyle="1" w:styleId="123">
    <w:name w:val="Intense Quote Char"/>
    <w:link w:val="124"/>
    <w:autoRedefine/>
    <w:qFormat/>
    <w:locked/>
    <w:uiPriority w:val="0"/>
    <w:rPr>
      <w:b/>
      <w:i/>
      <w:color w:val="4F81BD"/>
      <w:kern w:val="2"/>
      <w:sz w:val="22"/>
      <w:lang w:bidi="ar-SA"/>
    </w:rPr>
  </w:style>
  <w:style w:type="paragraph" w:customStyle="1" w:styleId="124">
    <w:name w:val="明显引用1"/>
    <w:basedOn w:val="1"/>
    <w:next w:val="1"/>
    <w:link w:val="123"/>
    <w:autoRedefine/>
    <w:qFormat/>
    <w:uiPriority w:val="0"/>
    <w:pPr>
      <w:pBdr>
        <w:bottom w:val="single" w:color="4F81BD" w:sz="4" w:space="4"/>
      </w:pBdr>
      <w:spacing w:before="200" w:after="280"/>
      <w:ind w:left="936" w:right="936"/>
    </w:pPr>
    <w:rPr>
      <w:b/>
      <w:i/>
      <w:color w:val="4F81BD"/>
      <w:sz w:val="22"/>
      <w:szCs w:val="20"/>
      <w:lang w:val="zh-CN"/>
    </w:rPr>
  </w:style>
  <w:style w:type="character" w:customStyle="1" w:styleId="125">
    <w:name w:val="标题 5 Char"/>
    <w:link w:val="7"/>
    <w:autoRedefine/>
    <w:qFormat/>
    <w:locked/>
    <w:uiPriority w:val="0"/>
    <w:rPr>
      <w:rFonts w:eastAsia="EYInterstate Light"/>
      <w:b/>
      <w:bCs/>
      <w:kern w:val="2"/>
      <w:sz w:val="28"/>
      <w:szCs w:val="28"/>
      <w:lang w:val="en-US" w:eastAsia="zh-CN" w:bidi="ar-SA"/>
    </w:rPr>
  </w:style>
  <w:style w:type="character" w:customStyle="1" w:styleId="126">
    <w:name w:val="正文文本_0 Char"/>
    <w:link w:val="127"/>
    <w:autoRedefine/>
    <w:qFormat/>
    <w:uiPriority w:val="0"/>
    <w:rPr>
      <w:rFonts w:ascii="楷体_GB2312" w:hAnsi="楷体_GB2312"/>
      <w:kern w:val="0"/>
      <w:sz w:val="20"/>
      <w:szCs w:val="20"/>
    </w:rPr>
  </w:style>
  <w:style w:type="paragraph" w:customStyle="1" w:styleId="127">
    <w:name w:val="正文文本_0"/>
    <w:basedOn w:val="128"/>
    <w:link w:val="126"/>
    <w:autoRedefine/>
    <w:qFormat/>
    <w:uiPriority w:val="0"/>
    <w:pPr>
      <w:adjustRightInd w:val="0"/>
      <w:spacing w:after="60" w:line="360" w:lineRule="atLeast"/>
      <w:ind w:left="72" w:leftChars="30" w:right="30" w:rightChars="30"/>
      <w:jc w:val="center"/>
    </w:pPr>
    <w:rPr>
      <w:rFonts w:ascii="楷体_GB2312" w:hAnsi="楷体_GB2312" w:cs="Times New Roman"/>
      <w:kern w:val="0"/>
      <w:sz w:val="20"/>
      <w:szCs w:val="20"/>
      <w:lang w:val="zh-CN"/>
    </w:rPr>
  </w:style>
  <w:style w:type="paragraph" w:customStyle="1" w:styleId="128">
    <w:name w:val="正文_7_0"/>
    <w:autoRedefine/>
    <w:qFormat/>
    <w:uiPriority w:val="0"/>
    <w:pPr>
      <w:widowControl w:val="0"/>
      <w:jc w:val="both"/>
    </w:pPr>
    <w:rPr>
      <w:rFonts w:ascii="Tahoma" w:hAnsi="Tahoma" w:eastAsia="EYInterstate Light" w:cs="Tahoma"/>
      <w:kern w:val="2"/>
      <w:sz w:val="21"/>
      <w:szCs w:val="22"/>
      <w:lang w:val="en-US" w:eastAsia="zh-CN" w:bidi="ar-SA"/>
    </w:rPr>
  </w:style>
  <w:style w:type="character" w:customStyle="1" w:styleId="129">
    <w:name w:val="font161"/>
    <w:autoRedefine/>
    <w:qFormat/>
    <w:uiPriority w:val="0"/>
    <w:rPr>
      <w:b/>
      <w:bCs/>
      <w:sz w:val="32"/>
      <w:szCs w:val="32"/>
    </w:rPr>
  </w:style>
  <w:style w:type="character" w:customStyle="1" w:styleId="130">
    <w:name w:val="Char Char261"/>
    <w:autoRedefine/>
    <w:qFormat/>
    <w:uiPriority w:val="0"/>
    <w:rPr>
      <w:rFonts w:ascii="Verdana" w:hAnsi="Verdana" w:eastAsia="华文细黑"/>
      <w:b/>
      <w:bCs/>
      <w:kern w:val="2"/>
      <w:sz w:val="32"/>
      <w:szCs w:val="32"/>
    </w:rPr>
  </w:style>
  <w:style w:type="character" w:customStyle="1" w:styleId="131">
    <w:name w:val="正文首行缩进 2 Char"/>
    <w:link w:val="45"/>
    <w:autoRedefine/>
    <w:qFormat/>
    <w:uiPriority w:val="0"/>
    <w:rPr>
      <w:rFonts w:ascii="Cambria Math" w:eastAsia="Cambria Math" w:cs="楷体_GB2312"/>
      <w:sz w:val="22"/>
      <w:szCs w:val="22"/>
      <w:lang w:eastAsia="en-US"/>
    </w:rPr>
  </w:style>
  <w:style w:type="character" w:customStyle="1" w:styleId="132">
    <w:name w:val="Quote Char"/>
    <w:link w:val="133"/>
    <w:autoRedefine/>
    <w:qFormat/>
    <w:locked/>
    <w:uiPriority w:val="0"/>
    <w:rPr>
      <w:i/>
      <w:color w:val="000000"/>
      <w:kern w:val="2"/>
      <w:sz w:val="22"/>
      <w:lang w:bidi="ar-SA"/>
    </w:rPr>
  </w:style>
  <w:style w:type="paragraph" w:customStyle="1" w:styleId="133">
    <w:name w:val="引用1"/>
    <w:basedOn w:val="1"/>
    <w:next w:val="1"/>
    <w:link w:val="132"/>
    <w:autoRedefine/>
    <w:qFormat/>
    <w:uiPriority w:val="0"/>
    <w:rPr>
      <w:i/>
      <w:color w:val="000000"/>
      <w:sz w:val="22"/>
      <w:szCs w:val="20"/>
      <w:lang w:val="zh-CN"/>
    </w:rPr>
  </w:style>
  <w:style w:type="character" w:customStyle="1" w:styleId="134">
    <w:name w:val="正文缩进 Char"/>
    <w:link w:val="5"/>
    <w:autoRedefine/>
    <w:qFormat/>
    <w:uiPriority w:val="0"/>
    <w:rPr>
      <w:rFonts w:ascii="Cambria Math" w:eastAsia="Cambria Math"/>
      <w:sz w:val="28"/>
      <w:lang w:val="en-US" w:eastAsia="zh-CN" w:bidi="ar-SA"/>
    </w:rPr>
  </w:style>
  <w:style w:type="character" w:customStyle="1" w:styleId="135">
    <w:name w:val="标题 2 Char"/>
    <w:autoRedefine/>
    <w:qFormat/>
    <w:uiPriority w:val="9"/>
    <w:rPr>
      <w:rFonts w:ascii="Verdana" w:hAnsi="Verdana" w:eastAsia="华文细黑"/>
      <w:snapToGrid w:val="0"/>
      <w:sz w:val="28"/>
      <w:szCs w:val="32"/>
      <w:lang w:val="en-US" w:eastAsia="zh-CN" w:bidi="ar-SA"/>
    </w:rPr>
  </w:style>
  <w:style w:type="character" w:customStyle="1" w:styleId="136">
    <w:name w:val="15"/>
    <w:autoRedefine/>
    <w:qFormat/>
    <w:uiPriority w:val="0"/>
    <w:rPr>
      <w:rFonts w:hint="default" w:ascii="楷体_GB2312" w:hAnsi="楷体_GB2312"/>
      <w:sz w:val="20"/>
      <w:szCs w:val="20"/>
    </w:rPr>
  </w:style>
  <w:style w:type="character" w:customStyle="1" w:styleId="137">
    <w:name w:val="apple-converted-space"/>
    <w:autoRedefine/>
    <w:qFormat/>
    <w:uiPriority w:val="0"/>
  </w:style>
  <w:style w:type="character" w:customStyle="1" w:styleId="138">
    <w:name w:val="正文文本缩进 2 Char"/>
    <w:link w:val="27"/>
    <w:autoRedefine/>
    <w:qFormat/>
    <w:uiPriority w:val="0"/>
    <w:rPr>
      <w:rFonts w:ascii="等线 Light" w:hAnsi="EYInterstate Light" w:eastAsia="等线 Light"/>
      <w:kern w:val="2"/>
      <w:sz w:val="24"/>
      <w:szCs w:val="24"/>
    </w:rPr>
  </w:style>
  <w:style w:type="character" w:customStyle="1" w:styleId="139">
    <w:name w:val="Char Char221"/>
    <w:autoRedefine/>
    <w:qFormat/>
    <w:uiPriority w:val="0"/>
    <w:rPr>
      <w:rFonts w:ascii="Verdana" w:hAnsi="Verdana" w:eastAsia="华文细黑"/>
      <w:b/>
      <w:bCs/>
      <w:sz w:val="24"/>
      <w:szCs w:val="24"/>
    </w:rPr>
  </w:style>
  <w:style w:type="character" w:customStyle="1" w:styleId="140">
    <w:name w:val="L1 Heading 6 Char Char"/>
    <w:autoRedefine/>
    <w:qFormat/>
    <w:uiPriority w:val="0"/>
    <w:rPr>
      <w:rFonts w:ascii="Verdana" w:hAnsi="Verdana" w:eastAsia="华文细黑"/>
      <w:b/>
      <w:kern w:val="2"/>
      <w:sz w:val="24"/>
      <w:lang w:val="en-US" w:eastAsia="zh-CN" w:bidi="ar-SA"/>
    </w:rPr>
  </w:style>
  <w:style w:type="character" w:customStyle="1" w:styleId="141">
    <w:name w:val="纯文本 Char Char Char Char Char Char Char Char Char Char"/>
    <w:autoRedefine/>
    <w:qFormat/>
    <w:uiPriority w:val="0"/>
    <w:rPr>
      <w:rFonts w:ascii="EYInterstate Light" w:hAnsi="中圆体" w:eastAsia="EYInterstate Light" w:cs="中圆体"/>
      <w:kern w:val="2"/>
      <w:sz w:val="21"/>
      <w:szCs w:val="21"/>
      <w:lang w:val="en-US" w:eastAsia="zh-CN" w:bidi="ar-SA"/>
    </w:rPr>
  </w:style>
  <w:style w:type="character" w:customStyle="1" w:styleId="142">
    <w:name w:val="Char Char181"/>
    <w:autoRedefine/>
    <w:qFormat/>
    <w:locked/>
    <w:uiPriority w:val="0"/>
    <w:rPr>
      <w:kern w:val="2"/>
      <w:sz w:val="18"/>
      <w:szCs w:val="18"/>
    </w:rPr>
  </w:style>
  <w:style w:type="character" w:customStyle="1" w:styleId="143">
    <w:name w:val="Char Char211"/>
    <w:autoRedefine/>
    <w:qFormat/>
    <w:uiPriority w:val="0"/>
    <w:rPr>
      <w:b/>
      <w:bCs/>
      <w:sz w:val="24"/>
      <w:szCs w:val="24"/>
    </w:rPr>
  </w:style>
  <w:style w:type="character" w:customStyle="1" w:styleId="144">
    <w:name w:val="正文文本 3 Char"/>
    <w:link w:val="16"/>
    <w:autoRedefine/>
    <w:qFormat/>
    <w:uiPriority w:val="0"/>
    <w:rPr>
      <w:kern w:val="2"/>
      <w:sz w:val="16"/>
      <w:szCs w:val="16"/>
      <w:lang w:bidi="ar-SA"/>
    </w:rPr>
  </w:style>
  <w:style w:type="character" w:customStyle="1" w:styleId="145">
    <w:name w:val="批注框文本 字符"/>
    <w:autoRedefine/>
    <w:semiHidden/>
    <w:qFormat/>
    <w:uiPriority w:val="99"/>
    <w:rPr>
      <w:kern w:val="2"/>
      <w:sz w:val="18"/>
      <w:szCs w:val="18"/>
    </w:rPr>
  </w:style>
  <w:style w:type="character" w:customStyle="1" w:styleId="146">
    <w:name w:val="标题5 Char Char"/>
    <w:link w:val="147"/>
    <w:autoRedefine/>
    <w:qFormat/>
    <w:locked/>
    <w:uiPriority w:val="0"/>
    <w:rPr>
      <w:rFonts w:ascii="Verdana" w:hAnsi="Verdana"/>
      <w:b/>
      <w:sz w:val="32"/>
      <w:lang w:bidi="ar-SA"/>
    </w:rPr>
  </w:style>
  <w:style w:type="paragraph" w:customStyle="1" w:styleId="147">
    <w:name w:val="标题5"/>
    <w:basedOn w:val="4"/>
    <w:link w:val="146"/>
    <w:autoRedefine/>
    <w:qFormat/>
    <w:uiPriority w:val="0"/>
    <w:pPr>
      <w:autoSpaceDE/>
      <w:autoSpaceDN/>
      <w:adjustRightInd/>
      <w:spacing w:before="260" w:after="260" w:line="413" w:lineRule="auto"/>
    </w:pPr>
    <w:rPr>
      <w:rFonts w:ascii="Verdana" w:hAnsi="Verdana" w:eastAsia="EYInterstate Light"/>
      <w:b/>
      <w:sz w:val="32"/>
    </w:rPr>
  </w:style>
  <w:style w:type="character" w:customStyle="1" w:styleId="148">
    <w:name w:val="批注主题 Char1"/>
    <w:link w:val="44"/>
    <w:autoRedefine/>
    <w:qFormat/>
    <w:uiPriority w:val="99"/>
    <w:rPr>
      <w:rFonts w:eastAsia="EYInterstate Light"/>
      <w:b/>
      <w:bCs/>
      <w:kern w:val="2"/>
      <w:sz w:val="21"/>
      <w:lang w:val="en-US" w:eastAsia="zh-CN" w:bidi="ar-SA"/>
    </w:rPr>
  </w:style>
  <w:style w:type="character" w:customStyle="1" w:styleId="149">
    <w:name w:val="Char Char251"/>
    <w:autoRedefine/>
    <w:qFormat/>
    <w:uiPriority w:val="0"/>
    <w:rPr>
      <w:rFonts w:eastAsia="华文细黑"/>
      <w:b/>
      <w:bCs/>
      <w:snapToGrid w:val="0"/>
      <w:kern w:val="44"/>
      <w:sz w:val="36"/>
      <w:szCs w:val="44"/>
      <w:lang w:val="en-US" w:eastAsia="zh-CN" w:bidi="ar-SA"/>
    </w:rPr>
  </w:style>
  <w:style w:type="character" w:customStyle="1" w:styleId="150">
    <w:name w:val="正文文本缩进 Char Char"/>
    <w:autoRedefine/>
    <w:qFormat/>
    <w:uiPriority w:val="0"/>
    <w:rPr>
      <w:rFonts w:ascii="Cambria Math" w:eastAsia="Cambria Math"/>
      <w:sz w:val="28"/>
    </w:rPr>
  </w:style>
  <w:style w:type="character" w:customStyle="1" w:styleId="151">
    <w:name w:val="Char Char231"/>
    <w:autoRedefine/>
    <w:qFormat/>
    <w:uiPriority w:val="0"/>
    <w:rPr>
      <w:b/>
      <w:bCs/>
      <w:kern w:val="2"/>
      <w:sz w:val="28"/>
      <w:szCs w:val="28"/>
    </w:rPr>
  </w:style>
  <w:style w:type="character" w:customStyle="1" w:styleId="152">
    <w:name w:val="bulletintext1"/>
    <w:autoRedefine/>
    <w:qFormat/>
    <w:uiPriority w:val="0"/>
    <w:rPr>
      <w:color w:val="000000"/>
      <w:sz w:val="18"/>
      <w:szCs w:val="18"/>
    </w:rPr>
  </w:style>
  <w:style w:type="character" w:customStyle="1" w:styleId="153">
    <w:name w:val="Char Char24"/>
    <w:autoRedefine/>
    <w:qFormat/>
    <w:uiPriority w:val="0"/>
    <w:rPr>
      <w:rFonts w:ascii="Verdana" w:hAnsi="Verdana" w:eastAsia="华文细黑"/>
      <w:snapToGrid w:val="0"/>
      <w:sz w:val="28"/>
      <w:szCs w:val="32"/>
      <w:lang w:val="en-US" w:eastAsia="zh-CN" w:bidi="ar-SA"/>
    </w:rPr>
  </w:style>
  <w:style w:type="character" w:customStyle="1" w:styleId="154">
    <w:name w:val="正文文本缩进 Char"/>
    <w:link w:val="18"/>
    <w:autoRedefine/>
    <w:qFormat/>
    <w:uiPriority w:val="0"/>
    <w:rPr>
      <w:rFonts w:ascii="Cambria Math" w:eastAsia="Cambria Math"/>
      <w:sz w:val="28"/>
    </w:rPr>
  </w:style>
  <w:style w:type="character" w:customStyle="1" w:styleId="155">
    <w:name w:val="Char Char11"/>
    <w:autoRedefine/>
    <w:qFormat/>
    <w:uiPriority w:val="0"/>
    <w:rPr>
      <w:rFonts w:ascii="Cambria Math" w:eastAsia="Cambria Math"/>
      <w:sz w:val="28"/>
    </w:rPr>
  </w:style>
  <w:style w:type="character" w:customStyle="1" w:styleId="156">
    <w:name w:val="Char Char241"/>
    <w:autoRedefine/>
    <w:qFormat/>
    <w:uiPriority w:val="0"/>
    <w:rPr>
      <w:rFonts w:ascii="Verdana" w:hAnsi="Verdana" w:eastAsia="华文细黑"/>
      <w:snapToGrid w:val="0"/>
      <w:sz w:val="28"/>
      <w:szCs w:val="32"/>
      <w:lang w:val="en-US" w:eastAsia="zh-CN" w:bidi="ar-SA"/>
    </w:rPr>
  </w:style>
  <w:style w:type="character" w:customStyle="1" w:styleId="157">
    <w:name w:val="htd0"/>
    <w:basedOn w:val="48"/>
    <w:autoRedefine/>
    <w:qFormat/>
    <w:uiPriority w:val="0"/>
  </w:style>
  <w:style w:type="character" w:customStyle="1" w:styleId="158">
    <w:name w:val="标题 Char Char"/>
    <w:autoRedefine/>
    <w:qFormat/>
    <w:uiPriority w:val="0"/>
    <w:rPr>
      <w:rFonts w:ascii="等线" w:hAnsi="等线" w:cs="Tahoma"/>
      <w:b/>
      <w:bCs/>
      <w:kern w:val="2"/>
      <w:sz w:val="32"/>
      <w:szCs w:val="32"/>
    </w:rPr>
  </w:style>
  <w:style w:type="character" w:customStyle="1" w:styleId="159">
    <w:name w:val="普通(网站) Char"/>
    <w:link w:val="42"/>
    <w:autoRedefine/>
    <w:qFormat/>
    <w:uiPriority w:val="0"/>
    <w:rPr>
      <w:rFonts w:ascii="楷体_GB2312" w:hAnsi="楷体_GB2312"/>
      <w:sz w:val="24"/>
      <w:szCs w:val="24"/>
    </w:rPr>
  </w:style>
  <w:style w:type="character" w:customStyle="1" w:styleId="160">
    <w:name w:val="Heading 2 Hidden Char1"/>
    <w:autoRedefine/>
    <w:qFormat/>
    <w:uiPriority w:val="0"/>
    <w:rPr>
      <w:rFonts w:ascii="Verdana" w:hAnsi="Verdana" w:eastAsia="华文细黑"/>
      <w:snapToGrid w:val="0"/>
      <w:sz w:val="28"/>
      <w:szCs w:val="32"/>
      <w:lang w:val="en-US" w:eastAsia="zh-CN" w:bidi="ar-SA"/>
    </w:rPr>
  </w:style>
  <w:style w:type="character" w:customStyle="1" w:styleId="161">
    <w:name w:val="批注文字 字符"/>
    <w:autoRedefine/>
    <w:qFormat/>
    <w:uiPriority w:val="0"/>
    <w:rPr>
      <w:rFonts w:eastAsia="EYInterstate Light"/>
      <w:kern w:val="2"/>
      <w:sz w:val="21"/>
      <w:szCs w:val="24"/>
      <w:lang w:val="en-US" w:eastAsia="zh-CN" w:bidi="ar-SA"/>
    </w:rPr>
  </w:style>
  <w:style w:type="character" w:customStyle="1" w:styleId="162">
    <w:name w:val="point_normal1"/>
    <w:autoRedefine/>
    <w:qFormat/>
    <w:uiPriority w:val="0"/>
    <w:rPr>
      <w:rFonts w:hint="default" w:ascii="Verdana" w:hAnsi="Verdana" w:cs="Verdana"/>
      <w:sz w:val="18"/>
      <w:szCs w:val="18"/>
    </w:rPr>
  </w:style>
  <w:style w:type="character" w:customStyle="1" w:styleId="163">
    <w:name w:val="标题 4 Char"/>
    <w:link w:val="6"/>
    <w:autoRedefine/>
    <w:qFormat/>
    <w:uiPriority w:val="0"/>
    <w:rPr>
      <w:rFonts w:eastAsia="EYInterstate Light"/>
      <w:kern w:val="2"/>
      <w:sz w:val="28"/>
      <w:lang w:bidi="ar-SA"/>
    </w:rPr>
  </w:style>
  <w:style w:type="character" w:customStyle="1" w:styleId="164">
    <w:name w:val="正文文本 2 Char"/>
    <w:link w:val="41"/>
    <w:autoRedefine/>
    <w:qFormat/>
    <w:uiPriority w:val="0"/>
    <w:rPr>
      <w:kern w:val="2"/>
      <w:sz w:val="24"/>
    </w:rPr>
  </w:style>
  <w:style w:type="character" w:customStyle="1" w:styleId="165">
    <w:name w:val="Char Char271"/>
    <w:autoRedefine/>
    <w:qFormat/>
    <w:uiPriority w:val="0"/>
    <w:rPr>
      <w:b/>
      <w:bCs/>
      <w:kern w:val="44"/>
      <w:sz w:val="44"/>
      <w:szCs w:val="44"/>
    </w:rPr>
  </w:style>
  <w:style w:type="character" w:customStyle="1" w:styleId="166">
    <w:name w:val="页码1"/>
    <w:autoRedefine/>
    <w:qFormat/>
    <w:uiPriority w:val="0"/>
    <w:rPr>
      <w:rFonts w:cs="Times New Roman"/>
    </w:rPr>
  </w:style>
  <w:style w:type="character" w:customStyle="1" w:styleId="167">
    <w:name w:val="标题 1 Char Char"/>
    <w:autoRedefine/>
    <w:qFormat/>
    <w:uiPriority w:val="0"/>
    <w:rPr>
      <w:rFonts w:ascii="华文细黑"/>
      <w:b/>
      <w:kern w:val="44"/>
      <w:sz w:val="32"/>
    </w:rPr>
  </w:style>
  <w:style w:type="character" w:customStyle="1" w:styleId="168">
    <w:name w:val="标题 7 Char"/>
    <w:link w:val="9"/>
    <w:autoRedefine/>
    <w:qFormat/>
    <w:uiPriority w:val="0"/>
    <w:rPr>
      <w:rFonts w:eastAsia="EYInterstate Light"/>
      <w:b/>
      <w:bCs/>
      <w:kern w:val="2"/>
      <w:sz w:val="24"/>
      <w:szCs w:val="24"/>
      <w:lang w:bidi="ar-SA"/>
    </w:rPr>
  </w:style>
  <w:style w:type="paragraph" w:customStyle="1" w:styleId="169">
    <w:name w:val="样式 标题 2 + Times New Roman 四号 非加粗 段前: 5 磅 段后: 0 磅 行距: 固定值 20..."/>
    <w:basedOn w:val="3"/>
    <w:autoRedefine/>
    <w:qFormat/>
    <w:uiPriority w:val="0"/>
    <w:pPr>
      <w:spacing w:before="100" w:after="0" w:line="400" w:lineRule="exact"/>
    </w:pPr>
    <w:rPr>
      <w:rFonts w:ascii="Tahoma" w:hAnsi="Tahoma" w:cs="EYInterstate Light"/>
      <w:b w:val="0"/>
      <w:bCs w:val="0"/>
      <w:sz w:val="28"/>
      <w:szCs w:val="20"/>
    </w:rPr>
  </w:style>
  <w:style w:type="paragraph" w:customStyle="1" w:styleId="170">
    <w:name w:val="Char Char1 Char Char Char Char Char Char"/>
    <w:basedOn w:val="1"/>
    <w:autoRedefine/>
    <w:qFormat/>
    <w:uiPriority w:val="0"/>
    <w:pPr>
      <w:widowControl/>
      <w:spacing w:after="160" w:line="240" w:lineRule="exact"/>
      <w:jc w:val="left"/>
    </w:pPr>
    <w:rPr>
      <w:rFonts w:ascii="EYInterstate Light" w:hAnsi="EYInterstate Light" w:cs="EYInterstate Light"/>
      <w:kern w:val="0"/>
      <w:szCs w:val="20"/>
    </w:rPr>
  </w:style>
  <w:style w:type="paragraph" w:customStyle="1" w:styleId="171">
    <w:name w:val="项目符号1 Char"/>
    <w:basedOn w:val="1"/>
    <w:next w:val="1"/>
    <w:autoRedefine/>
    <w:qFormat/>
    <w:uiPriority w:val="0"/>
    <w:pPr>
      <w:tabs>
        <w:tab w:val="left" w:pos="247"/>
        <w:tab w:val="left" w:pos="624"/>
      </w:tabs>
      <w:spacing w:line="360" w:lineRule="auto"/>
      <w:ind w:left="624" w:hanging="454"/>
    </w:pPr>
    <w:rPr>
      <w:sz w:val="24"/>
    </w:rPr>
  </w:style>
  <w:style w:type="paragraph" w:customStyle="1" w:styleId="172">
    <w:name w:val="xl3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173">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174">
    <w:name w:val="Char"/>
    <w:basedOn w:val="1"/>
    <w:autoRedefine/>
    <w:qFormat/>
    <w:uiPriority w:val="0"/>
  </w:style>
  <w:style w:type="paragraph" w:customStyle="1" w:styleId="175">
    <w:name w:val="Char Char1 Char Char Char Char Char Char1"/>
    <w:basedOn w:val="1"/>
    <w:autoRedefine/>
    <w:qFormat/>
    <w:uiPriority w:val="0"/>
    <w:pPr>
      <w:widowControl/>
      <w:spacing w:after="160" w:line="240" w:lineRule="exact"/>
      <w:jc w:val="left"/>
    </w:pPr>
    <w:rPr>
      <w:rFonts w:ascii="EYInterstate Light" w:hAnsi="EYInterstate Light" w:cs="EYInterstate Light"/>
      <w:kern w:val="0"/>
      <w:szCs w:val="20"/>
    </w:rPr>
  </w:style>
  <w:style w:type="paragraph" w:customStyle="1" w:styleId="176">
    <w:name w:val="正文1"/>
    <w:autoRedefine/>
    <w:qFormat/>
    <w:uiPriority w:val="0"/>
    <w:pPr>
      <w:widowControl w:val="0"/>
      <w:adjustRightInd w:val="0"/>
      <w:spacing w:line="312" w:lineRule="atLeast"/>
      <w:jc w:val="both"/>
      <w:textAlignment w:val="baseline"/>
    </w:pPr>
    <w:rPr>
      <w:rFonts w:ascii="EYInterstate Light" w:hAnsi="Tahoma" w:eastAsia="EYInterstate Light" w:cs="Tahoma"/>
      <w:sz w:val="34"/>
      <w:lang w:val="en-US" w:eastAsia="zh-CN" w:bidi="ar-SA"/>
    </w:rPr>
  </w:style>
  <w:style w:type="paragraph" w:customStyle="1" w:styleId="177">
    <w:name w:val="正文11"/>
    <w:basedOn w:val="1"/>
    <w:autoRedefine/>
    <w:qFormat/>
    <w:uiPriority w:val="0"/>
    <w:pPr>
      <w:widowControl/>
    </w:pPr>
    <w:rPr>
      <w:rFonts w:eastAsia="Tahoma"/>
      <w:kern w:val="0"/>
      <w:szCs w:val="20"/>
    </w:rPr>
  </w:style>
  <w:style w:type="paragraph" w:customStyle="1" w:styleId="178">
    <w:name w:val="内部地址"/>
    <w:basedOn w:val="1"/>
    <w:autoRedefine/>
    <w:qFormat/>
    <w:uiPriority w:val="0"/>
    <w:pPr>
      <w:widowControl/>
      <w:adjustRightInd w:val="0"/>
      <w:spacing w:line="160" w:lineRule="atLeast"/>
      <w:jc w:val="left"/>
      <w:textAlignment w:val="baseline"/>
    </w:pPr>
    <w:rPr>
      <w:rFonts w:ascii="Verdana" w:hAnsi="Verdana"/>
      <w:spacing w:val="-5"/>
      <w:kern w:val="0"/>
      <w:sz w:val="20"/>
      <w:szCs w:val="20"/>
    </w:rPr>
  </w:style>
  <w:style w:type="paragraph" w:customStyle="1" w:styleId="179">
    <w:name w:val="xl4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bCs/>
      <w:kern w:val="0"/>
      <w:sz w:val="24"/>
    </w:rPr>
  </w:style>
  <w:style w:type="paragraph" w:customStyle="1" w:styleId="180">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181">
    <w:name w:val="正文段"/>
    <w:basedOn w:val="1"/>
    <w:autoRedefine/>
    <w:qFormat/>
    <w:uiPriority w:val="0"/>
    <w:pPr>
      <w:widowControl/>
      <w:snapToGrid w:val="0"/>
      <w:spacing w:afterLines="50"/>
      <w:ind w:firstLine="200" w:firstLineChars="200"/>
    </w:pPr>
    <w:rPr>
      <w:kern w:val="0"/>
      <w:sz w:val="24"/>
      <w:szCs w:val="20"/>
    </w:rPr>
  </w:style>
  <w:style w:type="paragraph" w:customStyle="1" w:styleId="182">
    <w:name w:val="正文文本 21"/>
    <w:basedOn w:val="1"/>
    <w:autoRedefine/>
    <w:qFormat/>
    <w:uiPriority w:val="0"/>
    <w:pPr>
      <w:adjustRightInd w:val="0"/>
      <w:spacing w:line="300" w:lineRule="auto"/>
      <w:jc w:val="center"/>
    </w:pPr>
    <w:rPr>
      <w:rFonts w:hint="eastAsia" w:ascii="EYInterstate Light" w:hAnsi="EYInterstate Light"/>
      <w:snapToGrid w:val="0"/>
      <w:kern w:val="0"/>
      <w:sz w:val="24"/>
      <w:szCs w:val="20"/>
    </w:rPr>
  </w:style>
  <w:style w:type="paragraph" w:customStyle="1" w:styleId="183">
    <w:name w:val="xl34"/>
    <w:basedOn w:val="1"/>
    <w:autoRedefine/>
    <w:qFormat/>
    <w:uiPriority w:val="0"/>
    <w:pPr>
      <w:widowControl/>
      <w:spacing w:before="100" w:beforeAutospacing="1" w:after="100" w:afterAutospacing="1"/>
      <w:jc w:val="center"/>
    </w:pPr>
    <w:rPr>
      <w:rFonts w:ascii="EYInterstate Light" w:hAnsi="EYInterstate Light" w:cs="EYInterstate Light"/>
      <w:kern w:val="0"/>
      <w:sz w:val="18"/>
      <w:szCs w:val="18"/>
    </w:rPr>
  </w:style>
  <w:style w:type="paragraph" w:customStyle="1" w:styleId="184">
    <w:name w:val="正文文本 22"/>
    <w:basedOn w:val="1"/>
    <w:autoRedefine/>
    <w:qFormat/>
    <w:uiPriority w:val="0"/>
    <w:pPr>
      <w:adjustRightInd w:val="0"/>
      <w:spacing w:line="300" w:lineRule="auto"/>
      <w:jc w:val="center"/>
    </w:pPr>
    <w:rPr>
      <w:rFonts w:hint="eastAsia" w:ascii="EYInterstate Light" w:hAnsi="EYInterstate Light"/>
      <w:snapToGrid w:val="0"/>
      <w:kern w:val="0"/>
      <w:sz w:val="24"/>
      <w:szCs w:val="20"/>
    </w:rPr>
  </w:style>
  <w:style w:type="paragraph" w:customStyle="1" w:styleId="185">
    <w:name w:val="文档结构图11"/>
    <w:basedOn w:val="1"/>
    <w:autoRedefine/>
    <w:qFormat/>
    <w:uiPriority w:val="0"/>
    <w:rPr>
      <w:rFonts w:ascii="EYInterstate Light" w:hAnsi="楷体_GB2312"/>
      <w:sz w:val="18"/>
      <w:szCs w:val="18"/>
    </w:rPr>
  </w:style>
  <w:style w:type="paragraph" w:customStyle="1" w:styleId="186">
    <w:name w:val="List Paragraph1"/>
    <w:basedOn w:val="1"/>
    <w:autoRedefine/>
    <w:qFormat/>
    <w:uiPriority w:val="99"/>
    <w:pPr>
      <w:ind w:firstLine="420" w:firstLineChars="200"/>
    </w:pPr>
    <w:rPr>
      <w:rFonts w:ascii="楷体_GB2312" w:hAnsi="楷体_GB2312"/>
      <w:szCs w:val="22"/>
    </w:rPr>
  </w:style>
  <w:style w:type="paragraph" w:customStyle="1" w:styleId="187">
    <w:name w:val="font6"/>
    <w:basedOn w:val="1"/>
    <w:autoRedefine/>
    <w:qFormat/>
    <w:uiPriority w:val="0"/>
    <w:pPr>
      <w:widowControl/>
      <w:spacing w:before="100" w:beforeAutospacing="1" w:after="100" w:afterAutospacing="1"/>
      <w:jc w:val="left"/>
    </w:pPr>
    <w:rPr>
      <w:rFonts w:ascii="EYInterstate Light" w:hAnsi="EYInterstate Light" w:cs="EYInterstate Light"/>
      <w:kern w:val="0"/>
      <w:sz w:val="20"/>
      <w:szCs w:val="20"/>
    </w:rPr>
  </w:style>
  <w:style w:type="paragraph" w:customStyle="1" w:styleId="188">
    <w:name w:val="xl3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189">
    <w:name w:val="默认段落字体 Para Char"/>
    <w:basedOn w:val="1"/>
    <w:autoRedefine/>
    <w:qFormat/>
    <w:uiPriority w:val="0"/>
    <w:pPr>
      <w:numPr>
        <w:ilvl w:val="0"/>
        <w:numId w:val="1"/>
      </w:numPr>
    </w:pPr>
  </w:style>
  <w:style w:type="paragraph" w:customStyle="1" w:styleId="19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91">
    <w:name w:val="小标题"/>
    <w:basedOn w:val="1"/>
    <w:autoRedefine/>
    <w:qFormat/>
    <w:uiPriority w:val="0"/>
    <w:pPr>
      <w:adjustRightInd w:val="0"/>
      <w:spacing w:before="120" w:line="360" w:lineRule="auto"/>
      <w:jc w:val="center"/>
      <w:textAlignment w:val="baseline"/>
    </w:pPr>
    <w:rPr>
      <w:color w:val="0000FF"/>
      <w:kern w:val="0"/>
      <w:sz w:val="24"/>
      <w:szCs w:val="20"/>
      <w:u w:val="double"/>
    </w:rPr>
  </w:style>
  <w:style w:type="paragraph" w:customStyle="1" w:styleId="192">
    <w:name w:val="Char1"/>
    <w:basedOn w:val="1"/>
    <w:autoRedefine/>
    <w:qFormat/>
    <w:uiPriority w:val="0"/>
    <w:rPr>
      <w:rFonts w:ascii="等线 Light" w:eastAsia="等线 Light"/>
      <w:b/>
      <w:sz w:val="32"/>
      <w:szCs w:val="32"/>
    </w:rPr>
  </w:style>
  <w:style w:type="paragraph" w:customStyle="1" w:styleId="193">
    <w:name w:val="unknown style"/>
    <w:autoRedefine/>
    <w:qFormat/>
    <w:uiPriority w:val="0"/>
    <w:pPr>
      <w:widowControl w:val="0"/>
      <w:suppressAutoHyphens/>
    </w:pPr>
    <w:rPr>
      <w:rFonts w:ascii="Tahoma" w:hAnsi="Tahoma" w:eastAsia="EYInterstate Light" w:cs="Tahoma"/>
      <w:color w:val="000000"/>
      <w:kern w:val="1"/>
      <w:lang w:val="en-US" w:eastAsia="ar-SA" w:bidi="ar-SA"/>
    </w:rPr>
  </w:style>
  <w:style w:type="paragraph" w:customStyle="1" w:styleId="194">
    <w:name w:val="正文12"/>
    <w:basedOn w:val="1"/>
    <w:autoRedefine/>
    <w:qFormat/>
    <w:uiPriority w:val="0"/>
    <w:pPr>
      <w:widowControl/>
    </w:pPr>
    <w:rPr>
      <w:rFonts w:eastAsia="Tahoma"/>
      <w:kern w:val="0"/>
      <w:szCs w:val="20"/>
    </w:rPr>
  </w:style>
  <w:style w:type="paragraph" w:customStyle="1" w:styleId="195">
    <w:name w:val="xl68"/>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196">
    <w:name w:val="xl50"/>
    <w:basedOn w:val="1"/>
    <w:autoRedefine/>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jc w:val="center"/>
    </w:pPr>
    <w:rPr>
      <w:rFonts w:ascii="EYInterstate Light" w:hAnsi="EYInterstate Light" w:cs="EYInterstate Light"/>
      <w:b/>
      <w:bCs/>
      <w:kern w:val="0"/>
      <w:sz w:val="20"/>
      <w:szCs w:val="20"/>
    </w:rPr>
  </w:style>
  <w:style w:type="paragraph" w:customStyle="1" w:styleId="197">
    <w:name w:val="xl5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198">
    <w:name w:val="font7"/>
    <w:basedOn w:val="1"/>
    <w:autoRedefine/>
    <w:qFormat/>
    <w:uiPriority w:val="0"/>
    <w:pPr>
      <w:widowControl/>
      <w:spacing w:before="100" w:beforeAutospacing="1" w:after="100" w:afterAutospacing="1"/>
      <w:jc w:val="left"/>
    </w:pPr>
    <w:rPr>
      <w:rFonts w:ascii="EYInterstate Light" w:hAnsi="EYInterstate Light" w:cs="EYInterstate Light"/>
      <w:kern w:val="0"/>
      <w:sz w:val="20"/>
      <w:szCs w:val="20"/>
    </w:rPr>
  </w:style>
  <w:style w:type="paragraph" w:customStyle="1" w:styleId="199">
    <w:name w:val="日期1"/>
    <w:basedOn w:val="1"/>
    <w:next w:val="1"/>
    <w:autoRedefine/>
    <w:qFormat/>
    <w:uiPriority w:val="0"/>
    <w:pPr>
      <w:overflowPunct w:val="0"/>
      <w:autoSpaceDE w:val="0"/>
      <w:autoSpaceDN w:val="0"/>
      <w:adjustRightInd w:val="0"/>
      <w:textAlignment w:val="baseline"/>
    </w:pPr>
    <w:rPr>
      <w:szCs w:val="20"/>
    </w:rPr>
  </w:style>
  <w:style w:type="paragraph" w:customStyle="1" w:styleId="200">
    <w:name w:val="xl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01">
    <w:name w:val="章标题"/>
    <w:basedOn w:val="43"/>
    <w:autoRedefine/>
    <w:qFormat/>
    <w:uiPriority w:val="0"/>
    <w:rPr>
      <w:rFonts w:ascii="Verdana" w:hAnsi="Verdana" w:cs="Verdana"/>
      <w:sz w:val="20"/>
    </w:rPr>
  </w:style>
  <w:style w:type="paragraph" w:customStyle="1" w:styleId="202">
    <w:name w:val="xl6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03">
    <w:name w:val="TOC 标题1"/>
    <w:basedOn w:val="2"/>
    <w:next w:val="1"/>
    <w:autoRedefine/>
    <w:qFormat/>
    <w:uiPriority w:val="0"/>
    <w:pPr>
      <w:widowControl/>
      <w:spacing w:before="480" w:after="0" w:line="276" w:lineRule="auto"/>
      <w:jc w:val="left"/>
      <w:outlineLvl w:val="9"/>
    </w:pPr>
    <w:rPr>
      <w:rFonts w:ascii="等线" w:hAnsi="等线"/>
      <w:color w:val="365F91"/>
      <w:kern w:val="0"/>
      <w:sz w:val="28"/>
      <w:szCs w:val="28"/>
    </w:rPr>
  </w:style>
  <w:style w:type="paragraph" w:customStyle="1" w:styleId="204">
    <w:name w:val="列出段落1"/>
    <w:basedOn w:val="1"/>
    <w:autoRedefine/>
    <w:qFormat/>
    <w:uiPriority w:val="0"/>
    <w:pPr>
      <w:ind w:firstLine="420" w:firstLineChars="200"/>
    </w:pPr>
    <w:rPr>
      <w:rFonts w:ascii="楷体_GB2312" w:hAnsi="楷体_GB2312"/>
      <w:szCs w:val="22"/>
    </w:rPr>
  </w:style>
  <w:style w:type="paragraph" w:customStyle="1" w:styleId="205">
    <w:name w:val="xl6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06">
    <w:name w:val="xl71"/>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b/>
      <w:bCs/>
      <w:kern w:val="0"/>
      <w:sz w:val="20"/>
      <w:szCs w:val="20"/>
    </w:rPr>
  </w:style>
  <w:style w:type="paragraph" w:customStyle="1" w:styleId="207">
    <w:name w:val="引用11"/>
    <w:basedOn w:val="1"/>
    <w:next w:val="1"/>
    <w:autoRedefine/>
    <w:qFormat/>
    <w:uiPriority w:val="0"/>
    <w:rPr>
      <w:rFonts w:ascii="楷体_GB2312" w:hAnsi="楷体_GB2312"/>
      <w:i/>
      <w:color w:val="000000"/>
      <w:sz w:val="22"/>
      <w:szCs w:val="22"/>
    </w:rPr>
  </w:style>
  <w:style w:type="paragraph" w:customStyle="1" w:styleId="208">
    <w:name w:val="表格（小四，宋体）"/>
    <w:basedOn w:val="1"/>
    <w:autoRedefine/>
    <w:qFormat/>
    <w:uiPriority w:val="0"/>
    <w:pPr>
      <w:widowControl/>
      <w:jc w:val="left"/>
    </w:pPr>
    <w:rPr>
      <w:rFonts w:ascii="EYInterstate Light" w:hAnsi="EYInterstate Light"/>
      <w:sz w:val="24"/>
    </w:rPr>
  </w:style>
  <w:style w:type="paragraph" w:customStyle="1" w:styleId="209">
    <w:name w:val="Char Char Char"/>
    <w:basedOn w:val="1"/>
    <w:autoRedefine/>
    <w:qFormat/>
    <w:uiPriority w:val="0"/>
    <w:rPr>
      <w:rFonts w:eastAsia="等线 Light"/>
      <w:sz w:val="32"/>
      <w:szCs w:val="20"/>
    </w:rPr>
  </w:style>
  <w:style w:type="paragraph" w:customStyle="1" w:styleId="210">
    <w:name w:val="xl60"/>
    <w:basedOn w:val="1"/>
    <w:autoRedefine/>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11">
    <w:name w:val="注解（小四，楷体）"/>
    <w:basedOn w:val="1"/>
    <w:autoRedefine/>
    <w:qFormat/>
    <w:uiPriority w:val="0"/>
    <w:pPr>
      <w:widowControl/>
      <w:jc w:val="left"/>
    </w:pPr>
    <w:rPr>
      <w:rFonts w:ascii="Century Gothic" w:hAnsi="Century Gothic" w:eastAsia="Century Gothic"/>
      <w:sz w:val="24"/>
    </w:rPr>
  </w:style>
  <w:style w:type="paragraph" w:customStyle="1" w:styleId="212">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13">
    <w:name w:val="注"/>
    <w:basedOn w:val="1"/>
    <w:autoRedefine/>
    <w:qFormat/>
    <w:uiPriority w:val="0"/>
    <w:pPr>
      <w:adjustRightInd w:val="0"/>
      <w:spacing w:line="360" w:lineRule="atLeast"/>
      <w:ind w:left="840" w:hanging="420"/>
      <w:textAlignment w:val="baseline"/>
    </w:pPr>
    <w:rPr>
      <w:kern w:val="0"/>
      <w:szCs w:val="20"/>
    </w:rPr>
  </w:style>
  <w:style w:type="paragraph" w:customStyle="1" w:styleId="214">
    <w:name w:val="Char Char Char Char Char Char Char Char Char Char Char Char Char"/>
    <w:basedOn w:val="13"/>
    <w:autoRedefine/>
    <w:qFormat/>
    <w:uiPriority w:val="0"/>
    <w:pPr>
      <w:shd w:val="clear" w:color="auto" w:fill="000080"/>
    </w:pPr>
    <w:rPr>
      <w:rFonts w:ascii="Cambria" w:hAnsi="Cambria"/>
      <w:sz w:val="24"/>
      <w:szCs w:val="24"/>
    </w:rPr>
  </w:style>
  <w:style w:type="paragraph" w:customStyle="1" w:styleId="215">
    <w:name w:val="Char Char Char Char"/>
    <w:basedOn w:val="13"/>
    <w:autoRedefine/>
    <w:qFormat/>
    <w:uiPriority w:val="0"/>
    <w:pPr>
      <w:shd w:val="clear" w:color="auto" w:fill="000080"/>
      <w:adjustRightInd w:val="0"/>
      <w:spacing w:line="436" w:lineRule="exact"/>
      <w:ind w:left="357"/>
      <w:jc w:val="left"/>
      <w:outlineLvl w:val="3"/>
    </w:pPr>
    <w:rPr>
      <w:rFonts w:ascii="Tahoma"/>
      <w:sz w:val="21"/>
      <w:szCs w:val="24"/>
    </w:rPr>
  </w:style>
  <w:style w:type="paragraph" w:customStyle="1" w:styleId="216">
    <w:name w:val="Char Char Char1"/>
    <w:basedOn w:val="1"/>
    <w:autoRedefine/>
    <w:qFormat/>
    <w:uiPriority w:val="0"/>
    <w:rPr>
      <w:rFonts w:eastAsia="等线 Light"/>
      <w:sz w:val="32"/>
      <w:szCs w:val="20"/>
    </w:rPr>
  </w:style>
  <w:style w:type="paragraph" w:customStyle="1" w:styleId="217">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18">
    <w:name w:val="xl74"/>
    <w:basedOn w:val="1"/>
    <w:qFormat/>
    <w:uiPriority w:val="0"/>
    <w:pPr>
      <w:widowControl/>
      <w:pBdr>
        <w:top w:val="single" w:color="auto" w:sz="4" w:space="0"/>
        <w:bottom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19">
    <w:name w:val="xl4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EYInterstate Light" w:hAnsi="EYInterstate Light" w:cs="EYInterstate Light"/>
      <w:kern w:val="0"/>
      <w:sz w:val="18"/>
      <w:szCs w:val="18"/>
    </w:rPr>
  </w:style>
  <w:style w:type="paragraph" w:customStyle="1" w:styleId="220">
    <w:name w:val="Normal_3"/>
    <w:qFormat/>
    <w:uiPriority w:val="0"/>
    <w:pPr>
      <w:spacing w:before="120" w:after="240"/>
      <w:jc w:val="both"/>
    </w:pPr>
    <w:rPr>
      <w:rFonts w:ascii="Tahoma" w:hAnsi="Tahoma" w:eastAsia="EYInterstate Light" w:cs="Tahoma"/>
      <w:sz w:val="22"/>
      <w:szCs w:val="22"/>
      <w:lang w:val="en-US" w:eastAsia="en-US" w:bidi="ar-SA"/>
    </w:rPr>
  </w:style>
  <w:style w:type="paragraph" w:customStyle="1" w:styleId="221">
    <w:name w:val="目录文字"/>
    <w:basedOn w:val="1"/>
    <w:qFormat/>
    <w:uiPriority w:val="0"/>
    <w:pPr>
      <w:widowControl/>
      <w:spacing w:line="480" w:lineRule="auto"/>
      <w:jc w:val="left"/>
    </w:pPr>
    <w:rPr>
      <w:rFonts w:ascii="EYInterstate Light" w:hAnsi="EYInterstate Light"/>
      <w:kern w:val="0"/>
      <w:sz w:val="24"/>
      <w:szCs w:val="20"/>
    </w:rPr>
  </w:style>
  <w:style w:type="paragraph" w:customStyle="1" w:styleId="222">
    <w:name w:val="xl56"/>
    <w:basedOn w:val="1"/>
    <w:qFormat/>
    <w:uiPriority w:val="0"/>
    <w:pPr>
      <w:widowControl/>
      <w:pBdr>
        <w:top w:val="single" w:color="auto" w:sz="4" w:space="0"/>
        <w:bottom w:val="single" w:color="auto" w:sz="4" w:space="0"/>
      </w:pBdr>
      <w:spacing w:before="100" w:beforeAutospacing="1" w:after="100" w:afterAutospacing="1"/>
      <w:jc w:val="left"/>
    </w:pPr>
    <w:rPr>
      <w:rFonts w:ascii="EYInterstate Light" w:hAnsi="EYInterstate Light" w:cs="EYInterstate Light"/>
      <w:b/>
      <w:bCs/>
      <w:kern w:val="0"/>
      <w:sz w:val="20"/>
      <w:szCs w:val="20"/>
    </w:rPr>
  </w:style>
  <w:style w:type="paragraph" w:customStyle="1" w:styleId="223">
    <w:name w:val="表格"/>
    <w:basedOn w:val="1"/>
    <w:autoRedefine/>
    <w:qFormat/>
    <w:uiPriority w:val="0"/>
    <w:pPr>
      <w:jc w:val="center"/>
      <w:textAlignment w:val="center"/>
    </w:pPr>
    <w:rPr>
      <w:rFonts w:ascii="楷体_GB2312" w:hAnsi="楷体_GB2312"/>
      <w:kern w:val="0"/>
      <w:szCs w:val="20"/>
    </w:rPr>
  </w:style>
  <w:style w:type="paragraph" w:customStyle="1" w:styleId="224">
    <w:name w:val="正文－恩普"/>
    <w:basedOn w:val="5"/>
    <w:qFormat/>
    <w:uiPriority w:val="0"/>
    <w:pPr>
      <w:widowControl/>
      <w:autoSpaceDE/>
      <w:autoSpaceDN/>
      <w:adjustRightInd/>
      <w:spacing w:line="360" w:lineRule="auto"/>
      <w:ind w:firstLine="480" w:firstLineChars="200"/>
    </w:pPr>
    <w:rPr>
      <w:rFonts w:ascii="Tahoma" w:eastAsia="EYInterstate Light"/>
      <w:sz w:val="24"/>
    </w:rPr>
  </w:style>
  <w:style w:type="paragraph" w:customStyle="1" w:styleId="225">
    <w:name w:val="表格内容"/>
    <w:basedOn w:val="1"/>
    <w:qFormat/>
    <w:uiPriority w:val="0"/>
    <w:pPr>
      <w:adjustRightInd w:val="0"/>
      <w:spacing w:before="40"/>
      <w:jc w:val="left"/>
      <w:textAlignment w:val="baseline"/>
    </w:pPr>
    <w:rPr>
      <w:sz w:val="24"/>
      <w:szCs w:val="20"/>
    </w:rPr>
  </w:style>
  <w:style w:type="paragraph" w:customStyle="1" w:styleId="226">
    <w:name w:val="xl3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27">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228">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229">
    <w:name w:val="xl6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Verdana" w:hAnsi="Verdana" w:cs="Verdana"/>
      <w:kern w:val="0"/>
      <w:sz w:val="20"/>
      <w:szCs w:val="20"/>
    </w:rPr>
  </w:style>
  <w:style w:type="paragraph" w:customStyle="1" w:styleId="23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Verdana" w:hAnsi="Verdana" w:cs="Verdana"/>
      <w:kern w:val="0"/>
      <w:sz w:val="20"/>
      <w:szCs w:val="20"/>
    </w:rPr>
  </w:style>
  <w:style w:type="paragraph" w:customStyle="1" w:styleId="23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Verdana" w:hAnsi="Verdana" w:cs="Verdana"/>
      <w:kern w:val="0"/>
      <w:sz w:val="20"/>
      <w:szCs w:val="20"/>
    </w:rPr>
  </w:style>
  <w:style w:type="paragraph" w:customStyle="1" w:styleId="232">
    <w:name w:val="Char2"/>
    <w:basedOn w:val="1"/>
    <w:qFormat/>
    <w:uiPriority w:val="0"/>
    <w:rPr>
      <w:rFonts w:eastAsia="等线 Light"/>
      <w:sz w:val="28"/>
    </w:rPr>
  </w:style>
  <w:style w:type="paragraph" w:customStyle="1" w:styleId="233">
    <w:name w:val="正文文字"/>
    <w:basedOn w:val="1"/>
    <w:qFormat/>
    <w:uiPriority w:val="0"/>
    <w:pPr>
      <w:widowControl/>
      <w:spacing w:line="952" w:lineRule="atLeast"/>
      <w:ind w:firstLine="419"/>
      <w:textAlignment w:val="baseline"/>
    </w:pPr>
    <w:rPr>
      <w:b/>
      <w:color w:val="000000"/>
      <w:kern w:val="0"/>
      <w:sz w:val="44"/>
      <w:szCs w:val="20"/>
      <w:u w:color="000000"/>
    </w:rPr>
  </w:style>
  <w:style w:type="paragraph" w:customStyle="1" w:styleId="234">
    <w:name w:val="Default"/>
    <w:qFormat/>
    <w:uiPriority w:val="0"/>
    <w:pPr>
      <w:widowControl w:val="0"/>
      <w:autoSpaceDE w:val="0"/>
      <w:autoSpaceDN w:val="0"/>
      <w:adjustRightInd w:val="0"/>
    </w:pPr>
    <w:rPr>
      <w:rFonts w:ascii="Tahoma" w:hAnsi="Tahoma" w:eastAsia="EYInterstate Light" w:cs="Tahoma"/>
      <w:color w:val="000000"/>
      <w:sz w:val="24"/>
      <w:szCs w:val="24"/>
      <w:lang w:val="en-US" w:eastAsia="zh-CN" w:bidi="ar-SA"/>
    </w:rPr>
  </w:style>
  <w:style w:type="paragraph" w:customStyle="1" w:styleId="235">
    <w:name w:val="正文单弧括号"/>
    <w:basedOn w:val="236"/>
    <w:qFormat/>
    <w:uiPriority w:val="0"/>
    <w:pPr>
      <w:ind w:left="567"/>
    </w:pPr>
  </w:style>
  <w:style w:type="paragraph" w:customStyle="1" w:styleId="236">
    <w:name w:val="正文双弧括号"/>
    <w:basedOn w:val="1"/>
    <w:qFormat/>
    <w:uiPriority w:val="0"/>
    <w:pPr>
      <w:spacing w:before="120" w:line="500" w:lineRule="exact"/>
    </w:pPr>
    <w:rPr>
      <w:b/>
      <w:sz w:val="28"/>
      <w:szCs w:val="22"/>
    </w:rPr>
  </w:style>
  <w:style w:type="paragraph" w:customStyle="1" w:styleId="237">
    <w:name w:val="TOC 标题11"/>
    <w:basedOn w:val="2"/>
    <w:next w:val="1"/>
    <w:qFormat/>
    <w:uiPriority w:val="0"/>
    <w:pPr>
      <w:widowControl/>
      <w:spacing w:before="480" w:after="0" w:line="276" w:lineRule="auto"/>
      <w:jc w:val="left"/>
      <w:outlineLvl w:val="9"/>
    </w:pPr>
    <w:rPr>
      <w:rFonts w:ascii="等线" w:hAnsi="等线"/>
      <w:color w:val="365F91"/>
      <w:kern w:val="0"/>
      <w:sz w:val="28"/>
      <w:szCs w:val="28"/>
    </w:rPr>
  </w:style>
  <w:style w:type="paragraph" w:customStyle="1" w:styleId="238">
    <w:name w:val="xl5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b/>
      <w:bCs/>
      <w:kern w:val="0"/>
      <w:sz w:val="20"/>
      <w:szCs w:val="20"/>
    </w:rPr>
  </w:style>
  <w:style w:type="paragraph" w:customStyle="1" w:styleId="239">
    <w:name w:val="p0"/>
    <w:basedOn w:val="1"/>
    <w:qFormat/>
    <w:uiPriority w:val="0"/>
    <w:pPr>
      <w:widowControl/>
    </w:pPr>
    <w:rPr>
      <w:kern w:val="0"/>
      <w:szCs w:val="21"/>
    </w:rPr>
  </w:style>
  <w:style w:type="paragraph" w:customStyle="1" w:styleId="240">
    <w:name w:val="Char Char Char Char1"/>
    <w:basedOn w:val="13"/>
    <w:qFormat/>
    <w:uiPriority w:val="0"/>
    <w:pPr>
      <w:shd w:val="clear" w:color="auto" w:fill="000080"/>
      <w:adjustRightInd w:val="0"/>
      <w:spacing w:line="436" w:lineRule="exact"/>
      <w:ind w:left="357"/>
      <w:jc w:val="left"/>
      <w:outlineLvl w:val="3"/>
    </w:pPr>
    <w:rPr>
      <w:rFonts w:ascii="Tahoma" w:hAnsi="楷体_GB2312"/>
      <w:sz w:val="21"/>
      <w:szCs w:val="24"/>
    </w:rPr>
  </w:style>
  <w:style w:type="paragraph" w:customStyle="1" w:styleId="241">
    <w:name w:val="xl61"/>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42">
    <w:name w:val="样式 标题 1 + 黑体 三号 非加粗 居中 段前: 6 磅 段后: 6 磅 行距: 固定值 20 磅"/>
    <w:basedOn w:val="2"/>
    <w:qFormat/>
    <w:uiPriority w:val="0"/>
    <w:pPr>
      <w:spacing w:before="120" w:after="120" w:line="400" w:lineRule="exact"/>
      <w:jc w:val="center"/>
    </w:pPr>
    <w:rPr>
      <w:rFonts w:ascii="华文细黑" w:hAnsi="华文细黑" w:eastAsia="华文细黑" w:cs="EYInterstate Light"/>
      <w:b w:val="0"/>
      <w:bCs w:val="0"/>
      <w:sz w:val="32"/>
      <w:szCs w:val="20"/>
    </w:rPr>
  </w:style>
  <w:style w:type="paragraph" w:customStyle="1" w:styleId="243">
    <w:name w:val="Char3 Char Char Char"/>
    <w:basedOn w:val="1"/>
    <w:qFormat/>
    <w:uiPriority w:val="0"/>
    <w:pPr>
      <w:widowControl/>
      <w:spacing w:after="160" w:line="240" w:lineRule="exact"/>
      <w:jc w:val="left"/>
    </w:pPr>
    <w:rPr>
      <w:szCs w:val="20"/>
    </w:rPr>
  </w:style>
  <w:style w:type="paragraph" w:customStyle="1" w:styleId="244">
    <w:name w:val="font5"/>
    <w:basedOn w:val="1"/>
    <w:qFormat/>
    <w:uiPriority w:val="0"/>
    <w:pPr>
      <w:widowControl/>
      <w:spacing w:before="100" w:beforeAutospacing="1" w:after="100" w:afterAutospacing="1"/>
      <w:jc w:val="left"/>
    </w:pPr>
    <w:rPr>
      <w:rFonts w:ascii="EYInterstate Light" w:hAnsi="EYInterstate Light" w:cs="EYInterstate Light"/>
      <w:kern w:val="0"/>
      <w:sz w:val="18"/>
      <w:szCs w:val="18"/>
    </w:rPr>
  </w:style>
  <w:style w:type="paragraph" w:customStyle="1" w:styleId="245">
    <w:name w:val="xl3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46">
    <w:name w:val="xl52"/>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EYInterstate Light" w:hAnsi="EYInterstate Light" w:cs="EYInterstate Light"/>
      <w:kern w:val="0"/>
      <w:sz w:val="20"/>
      <w:szCs w:val="20"/>
    </w:rPr>
  </w:style>
  <w:style w:type="paragraph" w:customStyle="1" w:styleId="24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华文中宋" w:hAnsi="华文中宋" w:eastAsia="等线 Light"/>
      <w:kern w:val="0"/>
      <w:sz w:val="24"/>
      <w:szCs w:val="20"/>
      <w:lang w:eastAsia="en-US"/>
    </w:rPr>
  </w:style>
  <w:style w:type="paragraph" w:customStyle="1" w:styleId="248">
    <w:name w:val="样式 标题 3 + (中文) 黑体 小四 非加粗 段前: 7.8 磅 段后: 0 磅 行距: 固定值 20 磅"/>
    <w:basedOn w:val="4"/>
    <w:qFormat/>
    <w:uiPriority w:val="0"/>
    <w:pPr>
      <w:autoSpaceDE/>
      <w:autoSpaceDN/>
      <w:adjustRightInd/>
      <w:spacing w:before="0" w:after="0" w:line="400" w:lineRule="exact"/>
    </w:pPr>
    <w:rPr>
      <w:rFonts w:ascii="Tahoma" w:cs="EYInterstate Light"/>
      <w:kern w:val="2"/>
      <w:sz w:val="24"/>
    </w:rPr>
  </w:style>
  <w:style w:type="paragraph" w:customStyle="1" w:styleId="249">
    <w:name w:val="xl4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EYInterstate Light" w:hAnsi="EYInterstate Light" w:cs="EYInterstate Light"/>
      <w:b/>
      <w:bCs/>
      <w:kern w:val="0"/>
      <w:sz w:val="20"/>
      <w:szCs w:val="20"/>
    </w:rPr>
  </w:style>
  <w:style w:type="paragraph" w:customStyle="1" w:styleId="250">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中圆体" w:hAnsi="中圆体"/>
      <w:kern w:val="0"/>
      <w:sz w:val="20"/>
      <w:szCs w:val="20"/>
    </w:rPr>
  </w:style>
  <w:style w:type="paragraph" w:customStyle="1" w:styleId="251">
    <w:name w:val="Char11"/>
    <w:basedOn w:val="1"/>
    <w:qFormat/>
    <w:uiPriority w:val="0"/>
    <w:rPr>
      <w:rFonts w:ascii="等线 Light" w:eastAsia="等线 Light"/>
      <w:b/>
      <w:sz w:val="32"/>
      <w:szCs w:val="32"/>
    </w:rPr>
  </w:style>
  <w:style w:type="paragraph" w:customStyle="1" w:styleId="25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53">
    <w:name w:val="明显引用11"/>
    <w:basedOn w:val="1"/>
    <w:next w:val="1"/>
    <w:qFormat/>
    <w:uiPriority w:val="0"/>
    <w:pPr>
      <w:pBdr>
        <w:bottom w:val="single" w:color="4F81BD" w:sz="4" w:space="4"/>
      </w:pBdr>
      <w:spacing w:before="200" w:after="280"/>
      <w:ind w:left="936" w:right="936"/>
    </w:pPr>
    <w:rPr>
      <w:rFonts w:ascii="楷体_GB2312" w:hAnsi="楷体_GB2312"/>
      <w:b/>
      <w:i/>
      <w:color w:val="4F81BD"/>
      <w:sz w:val="22"/>
      <w:szCs w:val="22"/>
    </w:rPr>
  </w:style>
  <w:style w:type="paragraph" w:customStyle="1" w:styleId="254">
    <w:name w:val="Char3 Char Char Char1"/>
    <w:basedOn w:val="1"/>
    <w:autoRedefine/>
    <w:qFormat/>
    <w:uiPriority w:val="0"/>
    <w:pPr>
      <w:widowControl/>
      <w:spacing w:after="160" w:line="240" w:lineRule="exact"/>
      <w:jc w:val="left"/>
    </w:pPr>
    <w:rPr>
      <w:szCs w:val="20"/>
    </w:rPr>
  </w:style>
  <w:style w:type="paragraph" w:customStyle="1" w:styleId="255">
    <w:name w:val="新定义正文"/>
    <w:basedOn w:val="1"/>
    <w:qFormat/>
    <w:uiPriority w:val="0"/>
    <w:pPr>
      <w:widowControl/>
    </w:pPr>
    <w:rPr>
      <w:color w:val="000000"/>
      <w:szCs w:val="21"/>
    </w:rPr>
  </w:style>
  <w:style w:type="paragraph" w:customStyle="1" w:styleId="256">
    <w:name w:val="xl6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b/>
      <w:bCs/>
      <w:kern w:val="0"/>
      <w:sz w:val="20"/>
      <w:szCs w:val="20"/>
    </w:rPr>
  </w:style>
  <w:style w:type="paragraph" w:customStyle="1" w:styleId="257">
    <w:name w:val="样式2"/>
    <w:basedOn w:val="4"/>
    <w:qFormat/>
    <w:uiPriority w:val="0"/>
    <w:pPr>
      <w:autoSpaceDE/>
      <w:autoSpaceDN/>
      <w:adjustRightInd/>
      <w:spacing w:before="260" w:after="260" w:line="415" w:lineRule="auto"/>
    </w:pPr>
    <w:rPr>
      <w:rFonts w:ascii="Tahoma" w:eastAsia="EYInterstate Light"/>
      <w:b/>
      <w:bCs/>
      <w:kern w:val="2"/>
      <w:sz w:val="32"/>
      <w:szCs w:val="32"/>
    </w:rPr>
  </w:style>
  <w:style w:type="paragraph" w:customStyle="1" w:styleId="258">
    <w:name w:val="xl5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kern w:val="0"/>
      <w:sz w:val="20"/>
      <w:szCs w:val="20"/>
    </w:rPr>
  </w:style>
  <w:style w:type="paragraph" w:customStyle="1" w:styleId="25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60">
    <w:name w:val="xl70"/>
    <w:basedOn w:val="1"/>
    <w:autoRedefine/>
    <w:qFormat/>
    <w:uiPriority w:val="0"/>
    <w:pPr>
      <w:widowControl/>
      <w:pBdr>
        <w:top w:val="single" w:color="auto" w:sz="4" w:space="0"/>
        <w:bottom w:val="single" w:color="auto" w:sz="4" w:space="0"/>
      </w:pBdr>
      <w:spacing w:before="100" w:beforeAutospacing="1" w:after="100" w:afterAutospacing="1"/>
      <w:jc w:val="center"/>
    </w:pPr>
    <w:rPr>
      <w:rFonts w:ascii="EYInterstate Light" w:hAnsi="EYInterstate Light" w:cs="EYInterstate Light"/>
      <w:b/>
      <w:bCs/>
      <w:kern w:val="0"/>
      <w:sz w:val="20"/>
      <w:szCs w:val="20"/>
    </w:rPr>
  </w:style>
  <w:style w:type="paragraph" w:customStyle="1" w:styleId="261">
    <w:name w:val="目录"/>
    <w:basedOn w:val="1"/>
    <w:qFormat/>
    <w:uiPriority w:val="0"/>
    <w:pPr>
      <w:widowControl/>
      <w:jc w:val="center"/>
    </w:pPr>
    <w:rPr>
      <w:rFonts w:ascii="EYInterstate Light"/>
      <w:b/>
      <w:kern w:val="0"/>
      <w:sz w:val="36"/>
      <w:szCs w:val="20"/>
    </w:rPr>
  </w:style>
  <w:style w:type="paragraph" w:customStyle="1" w:styleId="262">
    <w:name w:val="表头文本"/>
    <w:basedOn w:val="1"/>
    <w:qFormat/>
    <w:uiPriority w:val="0"/>
    <w:pPr>
      <w:autoSpaceDE w:val="0"/>
      <w:autoSpaceDN w:val="0"/>
      <w:adjustRightInd w:val="0"/>
      <w:jc w:val="center"/>
    </w:pPr>
    <w:rPr>
      <w:b/>
      <w:kern w:val="0"/>
      <w:sz w:val="24"/>
      <w:szCs w:val="20"/>
    </w:rPr>
  </w:style>
  <w:style w:type="paragraph" w:customStyle="1" w:styleId="263">
    <w:name w:val="无间隔1"/>
    <w:qFormat/>
    <w:uiPriority w:val="0"/>
    <w:pPr>
      <w:widowControl w:val="0"/>
      <w:jc w:val="both"/>
    </w:pPr>
    <w:rPr>
      <w:rFonts w:ascii="Tahoma" w:hAnsi="Tahoma" w:eastAsia="EYInterstate Light" w:cs="Tahoma"/>
      <w:kern w:val="2"/>
      <w:sz w:val="21"/>
      <w:szCs w:val="22"/>
      <w:lang w:val="en-US" w:eastAsia="zh-CN" w:bidi="ar-SA"/>
    </w:rPr>
  </w:style>
  <w:style w:type="paragraph" w:customStyle="1" w:styleId="264">
    <w:name w:val="样式4"/>
    <w:basedOn w:val="4"/>
    <w:qFormat/>
    <w:uiPriority w:val="0"/>
    <w:pPr>
      <w:autoSpaceDE/>
      <w:autoSpaceDN/>
      <w:adjustRightInd/>
      <w:spacing w:before="260" w:after="260" w:line="415" w:lineRule="auto"/>
    </w:pPr>
    <w:rPr>
      <w:rFonts w:ascii="Tahoma" w:eastAsia="Verdana"/>
      <w:b/>
      <w:bCs/>
      <w:kern w:val="2"/>
      <w:sz w:val="32"/>
      <w:szCs w:val="32"/>
    </w:rPr>
  </w:style>
  <w:style w:type="paragraph" w:customStyle="1" w:styleId="265">
    <w:name w:val="表格标题"/>
    <w:basedOn w:val="1"/>
    <w:qFormat/>
    <w:uiPriority w:val="0"/>
    <w:pPr>
      <w:adjustRightInd w:val="0"/>
      <w:jc w:val="center"/>
      <w:textAlignment w:val="baseline"/>
    </w:pPr>
    <w:rPr>
      <w:rFonts w:ascii="Verdana" w:hAnsi="Verdana" w:eastAsia="仿宋_GB2312"/>
      <w:b/>
      <w:sz w:val="24"/>
      <w:szCs w:val="20"/>
    </w:rPr>
  </w:style>
  <w:style w:type="paragraph" w:customStyle="1" w:styleId="266">
    <w:name w:val="_Style 40"/>
    <w:basedOn w:val="1"/>
    <w:qFormat/>
    <w:uiPriority w:val="0"/>
  </w:style>
  <w:style w:type="paragraph" w:customStyle="1" w:styleId="267">
    <w:name w:val="bt1bt1"/>
    <w:basedOn w:val="2"/>
    <w:qFormat/>
    <w:uiPriority w:val="0"/>
    <w:pPr>
      <w:spacing w:line="240" w:lineRule="auto"/>
      <w:jc w:val="center"/>
    </w:pPr>
    <w:rPr>
      <w:rFonts w:ascii="华文细黑" w:eastAsia="华文细黑"/>
      <w:b w:val="0"/>
      <w:sz w:val="36"/>
      <w:szCs w:val="36"/>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18"/>
      <w:szCs w:val="18"/>
    </w:rPr>
  </w:style>
  <w:style w:type="paragraph" w:customStyle="1" w:styleId="26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70">
    <w:name w:val="正文 A"/>
    <w:qFormat/>
    <w:uiPriority w:val="0"/>
    <w:pPr>
      <w:widowControl w:val="0"/>
      <w:jc w:val="both"/>
    </w:pPr>
    <w:rPr>
      <w:rFonts w:ascii="Tahoma" w:hAnsi="Tahoma" w:eastAsia="Tahoma" w:cs="Tahoma"/>
      <w:color w:val="000000"/>
      <w:kern w:val="2"/>
      <w:sz w:val="21"/>
      <w:szCs w:val="21"/>
      <w:u w:color="000000"/>
      <w:lang w:val="en-US" w:eastAsia="zh-CN" w:bidi="ar-SA"/>
    </w:rPr>
  </w:style>
  <w:style w:type="paragraph" w:customStyle="1" w:styleId="271">
    <w:name w:val="xl7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72">
    <w:name w:val="Table Paragraph"/>
    <w:basedOn w:val="1"/>
    <w:qFormat/>
    <w:uiPriority w:val="99"/>
    <w:pPr>
      <w:jc w:val="left"/>
    </w:pPr>
    <w:rPr>
      <w:rFonts w:cs="楷体_GB2312"/>
      <w:kern w:val="0"/>
      <w:sz w:val="22"/>
      <w:szCs w:val="22"/>
      <w:lang w:eastAsia="en-US"/>
    </w:rPr>
  </w:style>
  <w:style w:type="paragraph" w:customStyle="1" w:styleId="273">
    <w:name w:val="xl3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Verdana" w:hAnsi="Verdana" w:cs="Verdana"/>
      <w:kern w:val="0"/>
      <w:sz w:val="20"/>
      <w:szCs w:val="20"/>
    </w:rPr>
  </w:style>
  <w:style w:type="paragraph" w:customStyle="1" w:styleId="274">
    <w:name w:val="xl59"/>
    <w:basedOn w:val="1"/>
    <w:qFormat/>
    <w:uiPriority w:val="0"/>
    <w:pPr>
      <w:widowControl/>
      <w:pBdr>
        <w:top w:val="single" w:color="auto" w:sz="4" w:space="0"/>
        <w:bottom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75">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kern w:val="0"/>
      <w:sz w:val="20"/>
      <w:szCs w:val="20"/>
    </w:rPr>
  </w:style>
  <w:style w:type="paragraph" w:customStyle="1" w:styleId="276">
    <w:name w:val="修订1"/>
    <w:semiHidden/>
    <w:qFormat/>
    <w:uiPriority w:val="0"/>
    <w:rPr>
      <w:rFonts w:ascii="Tahoma" w:hAnsi="Tahoma" w:eastAsia="EYInterstate Light" w:cs="Tahoma"/>
      <w:kern w:val="2"/>
      <w:sz w:val="21"/>
      <w:szCs w:val="24"/>
      <w:lang w:val="en-US" w:eastAsia="zh-CN" w:bidi="ar-SA"/>
    </w:rPr>
  </w:style>
  <w:style w:type="paragraph" w:customStyle="1" w:styleId="277">
    <w:name w:val="xl41"/>
    <w:basedOn w:val="1"/>
    <w:qFormat/>
    <w:uiPriority w:val="0"/>
    <w:pPr>
      <w:widowControl/>
      <w:pBdr>
        <w:top w:val="single" w:color="auto" w:sz="4" w:space="0"/>
        <w:lef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78">
    <w:name w:val="节"/>
    <w:basedOn w:val="3"/>
    <w:qFormat/>
    <w:uiPriority w:val="0"/>
    <w:pPr>
      <w:numPr>
        <w:ilvl w:val="1"/>
        <w:numId w:val="2"/>
      </w:numPr>
      <w:spacing w:line="240" w:lineRule="auto"/>
    </w:pPr>
    <w:rPr>
      <w:rFonts w:ascii="华文细黑"/>
      <w:b w:val="0"/>
      <w:sz w:val="28"/>
      <w:szCs w:val="28"/>
    </w:rPr>
  </w:style>
  <w:style w:type="paragraph" w:customStyle="1" w:styleId="279">
    <w:name w:val="样式 标题 3 + 段前: 7.8 磅"/>
    <w:basedOn w:val="4"/>
    <w:qFormat/>
    <w:uiPriority w:val="0"/>
    <w:pPr>
      <w:keepNext w:val="0"/>
      <w:keepLines w:val="0"/>
      <w:numPr>
        <w:ilvl w:val="0"/>
        <w:numId w:val="3"/>
      </w:numPr>
      <w:autoSpaceDE/>
      <w:autoSpaceDN/>
      <w:adjustRightInd/>
      <w:spacing w:before="156" w:after="0" w:line="360" w:lineRule="auto"/>
    </w:pPr>
    <w:rPr>
      <w:rFonts w:ascii="Tahoma" w:eastAsia="EYInterstate Light" w:cs="EYInterstate Light"/>
      <w:kern w:val="2"/>
      <w:sz w:val="24"/>
    </w:rPr>
  </w:style>
  <w:style w:type="paragraph" w:customStyle="1" w:styleId="280">
    <w:name w:val="p16"/>
    <w:basedOn w:val="1"/>
    <w:qFormat/>
    <w:uiPriority w:val="0"/>
    <w:pPr>
      <w:widowControl/>
      <w:spacing w:before="100" w:after="100"/>
      <w:jc w:val="left"/>
    </w:pPr>
    <w:rPr>
      <w:rFonts w:ascii="EYInterstate Light" w:hAnsi="EYInterstate Light" w:cs="EYInterstate Light"/>
      <w:kern w:val="0"/>
      <w:sz w:val="24"/>
    </w:rPr>
  </w:style>
  <w:style w:type="paragraph" w:customStyle="1" w:styleId="281">
    <w:name w:val="Char Char Char Char Char Char Char Char Char Char Char Char Char1"/>
    <w:basedOn w:val="13"/>
    <w:qFormat/>
    <w:uiPriority w:val="0"/>
    <w:pPr>
      <w:shd w:val="clear" w:color="auto" w:fill="000080"/>
    </w:pPr>
    <w:rPr>
      <w:rFonts w:ascii="Cambria" w:hAnsi="Cambria"/>
      <w:sz w:val="24"/>
      <w:szCs w:val="24"/>
    </w:rPr>
  </w:style>
  <w:style w:type="paragraph" w:customStyle="1" w:styleId="282">
    <w:name w:val="样式1"/>
    <w:basedOn w:val="4"/>
    <w:autoRedefine/>
    <w:qFormat/>
    <w:uiPriority w:val="0"/>
    <w:pPr>
      <w:autoSpaceDE/>
      <w:autoSpaceDN/>
      <w:adjustRightInd/>
      <w:spacing w:before="260" w:after="260" w:line="415" w:lineRule="auto"/>
    </w:pPr>
    <w:rPr>
      <w:rFonts w:ascii="Tahoma" w:eastAsia="Verdana"/>
      <w:b/>
      <w:bCs/>
      <w:kern w:val="2"/>
      <w:sz w:val="32"/>
      <w:szCs w:val="32"/>
    </w:rPr>
  </w:style>
  <w:style w:type="paragraph" w:customStyle="1" w:styleId="283">
    <w:name w:val="xl58"/>
    <w:basedOn w:val="1"/>
    <w:autoRedefine/>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84">
    <w:name w:val="列出段落 Char"/>
    <w:autoRedefine/>
    <w:qFormat/>
    <w:uiPriority w:val="0"/>
    <w:pPr>
      <w:jc w:val="both"/>
    </w:pPr>
    <w:rPr>
      <w:rFonts w:ascii="Tahoma" w:hAnsi="Tahoma" w:eastAsia="EYInterstate Light" w:cs="Tahoma"/>
      <w:sz w:val="21"/>
      <w:lang w:val="en-US" w:eastAsia="zh-CN" w:bidi="ar-SA"/>
    </w:rPr>
  </w:style>
  <w:style w:type="paragraph" w:customStyle="1" w:styleId="285">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86">
    <w:name w:val="xl5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EYInterstate Light" w:hAnsi="EYInterstate Light" w:cs="EYInterstate Light"/>
      <w:b/>
      <w:bCs/>
      <w:kern w:val="0"/>
      <w:sz w:val="20"/>
      <w:szCs w:val="20"/>
    </w:rPr>
  </w:style>
  <w:style w:type="paragraph" w:customStyle="1" w:styleId="287">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18"/>
      <w:szCs w:val="18"/>
    </w:rPr>
  </w:style>
  <w:style w:type="paragraph" w:customStyle="1" w:styleId="288">
    <w:name w:val="MCS Title"/>
    <w:basedOn w:val="1"/>
    <w:autoRedefine/>
    <w:qFormat/>
    <w:uiPriority w:val="0"/>
    <w:pPr>
      <w:keepLines/>
      <w:widowControl/>
      <w:spacing w:before="120" w:after="60" w:line="180" w:lineRule="exact"/>
      <w:jc w:val="center"/>
    </w:pPr>
    <w:rPr>
      <w:rFonts w:eastAsia="Tahoma"/>
      <w:b/>
      <w:kern w:val="0"/>
      <w:sz w:val="20"/>
      <w:szCs w:val="20"/>
      <w:lang w:val="en-AU" w:eastAsia="en-US"/>
    </w:rPr>
  </w:style>
  <w:style w:type="paragraph" w:customStyle="1" w:styleId="289">
    <w:name w:val="列出段落2"/>
    <w:basedOn w:val="1"/>
    <w:autoRedefine/>
    <w:qFormat/>
    <w:uiPriority w:val="34"/>
    <w:pPr>
      <w:ind w:firstLine="420" w:firstLineChars="200"/>
    </w:pPr>
    <w:rPr>
      <w:szCs w:val="20"/>
    </w:rPr>
  </w:style>
  <w:style w:type="paragraph" w:customStyle="1" w:styleId="290">
    <w:name w:val="xl4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91">
    <w:name w:val="Char Char Char Char Char Char Char Char Char Char Char Char Char Char Char Char Char Char Char Char Char Char Char Char Char Char Char Char Char Char Char Char Char1"/>
    <w:basedOn w:val="1"/>
    <w:autoRedefine/>
    <w:qFormat/>
    <w:uiPriority w:val="0"/>
    <w:pPr>
      <w:widowControl/>
      <w:spacing w:after="160" w:line="240" w:lineRule="exact"/>
      <w:jc w:val="left"/>
    </w:pPr>
    <w:rPr>
      <w:rFonts w:ascii="华文中宋" w:hAnsi="华文中宋" w:eastAsia="等线 Light"/>
      <w:kern w:val="0"/>
      <w:sz w:val="24"/>
      <w:szCs w:val="20"/>
      <w:lang w:eastAsia="en-US"/>
    </w:rPr>
  </w:style>
  <w:style w:type="paragraph" w:customStyle="1" w:styleId="292">
    <w:name w:val="Normal_4"/>
    <w:qFormat/>
    <w:uiPriority w:val="0"/>
    <w:pPr>
      <w:spacing w:before="120" w:after="240"/>
      <w:jc w:val="both"/>
    </w:pPr>
    <w:rPr>
      <w:rFonts w:ascii="Tahoma" w:hAnsi="Tahoma" w:eastAsia="EYInterstate Light" w:cs="Tahoma"/>
      <w:sz w:val="22"/>
      <w:szCs w:val="22"/>
      <w:lang w:val="en-US" w:eastAsia="en-US" w:bidi="ar-SA"/>
    </w:rPr>
  </w:style>
  <w:style w:type="paragraph" w:customStyle="1" w:styleId="293">
    <w:name w:val="正文缩进1"/>
    <w:basedOn w:val="1"/>
    <w:autoRedefine/>
    <w:qFormat/>
    <w:uiPriority w:val="0"/>
    <w:pPr>
      <w:autoSpaceDE w:val="0"/>
      <w:autoSpaceDN w:val="0"/>
      <w:adjustRightInd w:val="0"/>
      <w:spacing w:line="315" w:lineRule="atLeast"/>
      <w:ind w:firstLine="420"/>
      <w:jc w:val="left"/>
    </w:pPr>
    <w:rPr>
      <w:rFonts w:ascii="Cambria Math" w:eastAsia="Cambria Math"/>
      <w:kern w:val="0"/>
      <w:sz w:val="28"/>
      <w:szCs w:val="20"/>
    </w:rPr>
  </w:style>
  <w:style w:type="paragraph" w:customStyle="1" w:styleId="294">
    <w:name w:val="表格文字"/>
    <w:basedOn w:val="1"/>
    <w:autoRedefine/>
    <w:qFormat/>
    <w:uiPriority w:val="0"/>
    <w:pPr>
      <w:adjustRightInd w:val="0"/>
      <w:spacing w:line="420" w:lineRule="atLeast"/>
      <w:jc w:val="left"/>
      <w:textAlignment w:val="baseline"/>
    </w:pPr>
    <w:rPr>
      <w:kern w:val="0"/>
      <w:szCs w:val="20"/>
    </w:rPr>
  </w:style>
  <w:style w:type="paragraph" w:customStyle="1" w:styleId="295">
    <w:name w:val="日期11"/>
    <w:basedOn w:val="1"/>
    <w:next w:val="1"/>
    <w:autoRedefine/>
    <w:qFormat/>
    <w:uiPriority w:val="0"/>
    <w:pPr>
      <w:overflowPunct w:val="0"/>
      <w:autoSpaceDE w:val="0"/>
      <w:autoSpaceDN w:val="0"/>
      <w:adjustRightInd w:val="0"/>
      <w:textAlignment w:val="baseline"/>
    </w:pPr>
    <w:rPr>
      <w:szCs w:val="20"/>
    </w:rPr>
  </w:style>
  <w:style w:type="paragraph" w:customStyle="1" w:styleId="296">
    <w:name w:val="样式3"/>
    <w:basedOn w:val="4"/>
    <w:autoRedefine/>
    <w:qFormat/>
    <w:uiPriority w:val="0"/>
    <w:pPr>
      <w:autoSpaceDE/>
      <w:autoSpaceDN/>
      <w:adjustRightInd/>
      <w:spacing w:before="260" w:after="260" w:line="415" w:lineRule="auto"/>
    </w:pPr>
    <w:rPr>
      <w:rFonts w:ascii="Tahoma" w:eastAsia="Verdana"/>
      <w:b/>
      <w:bCs/>
      <w:kern w:val="2"/>
      <w:sz w:val="32"/>
      <w:szCs w:val="32"/>
    </w:rPr>
  </w:style>
  <w:style w:type="paragraph" w:customStyle="1" w:styleId="297">
    <w:name w:val="xl63"/>
    <w:basedOn w:val="1"/>
    <w:autoRedefine/>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ascii="EYInterstate Light" w:hAnsi="EYInterstate Light" w:cs="EYInterstate Light"/>
      <w:kern w:val="0"/>
      <w:sz w:val="20"/>
      <w:szCs w:val="20"/>
    </w:rPr>
  </w:style>
  <w:style w:type="paragraph" w:customStyle="1" w:styleId="298">
    <w:name w:val="Char3"/>
    <w:basedOn w:val="1"/>
    <w:qFormat/>
    <w:uiPriority w:val="0"/>
    <w:rPr>
      <w:rFonts w:eastAsia="等线 Light"/>
      <w:sz w:val="28"/>
    </w:rPr>
  </w:style>
  <w:style w:type="paragraph" w:customStyle="1" w:styleId="29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Verdana" w:hAnsi="Verdana" w:cs="Verdana"/>
      <w:kern w:val="0"/>
      <w:sz w:val="20"/>
      <w:szCs w:val="20"/>
    </w:rPr>
  </w:style>
  <w:style w:type="paragraph" w:customStyle="1" w:styleId="300">
    <w:name w:val="xl5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EYInterstate Light" w:hAnsi="EYInterstate Light" w:cs="EYInterstate Light"/>
      <w:b/>
      <w:bCs/>
      <w:kern w:val="0"/>
      <w:sz w:val="20"/>
      <w:szCs w:val="20"/>
    </w:rPr>
  </w:style>
  <w:style w:type="paragraph" w:customStyle="1" w:styleId="301">
    <w:name w:val="正文缩进2"/>
    <w:basedOn w:val="1"/>
    <w:autoRedefine/>
    <w:qFormat/>
    <w:uiPriority w:val="0"/>
    <w:pPr>
      <w:autoSpaceDE w:val="0"/>
      <w:autoSpaceDN w:val="0"/>
      <w:adjustRightInd w:val="0"/>
      <w:spacing w:line="315" w:lineRule="atLeast"/>
      <w:ind w:firstLine="420"/>
      <w:jc w:val="left"/>
    </w:pPr>
    <w:rPr>
      <w:rFonts w:ascii="Cambria Math" w:eastAsia="Cambria Math"/>
      <w:kern w:val="0"/>
      <w:sz w:val="28"/>
      <w:szCs w:val="20"/>
    </w:rPr>
  </w:style>
  <w:style w:type="paragraph" w:customStyle="1" w:styleId="302">
    <w:name w:val="xl62"/>
    <w:basedOn w:val="1"/>
    <w:autoRedefine/>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303">
    <w:name w:val="xl64"/>
    <w:basedOn w:val="1"/>
    <w:autoRedefine/>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ascii="EYInterstate Light" w:hAnsi="EYInterstate Light" w:cs="EYInterstate Light"/>
      <w:kern w:val="0"/>
      <w:sz w:val="20"/>
      <w:szCs w:val="20"/>
    </w:rPr>
  </w:style>
  <w:style w:type="paragraph" w:customStyle="1" w:styleId="304">
    <w:name w:val="xl7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EYInterstate Light" w:hAnsi="EYInterstate Light" w:cs="EYInterstate Light"/>
      <w:kern w:val="0"/>
      <w:sz w:val="20"/>
      <w:szCs w:val="20"/>
    </w:rPr>
  </w:style>
  <w:style w:type="table" w:customStyle="1" w:styleId="305">
    <w:name w:val="网格型1"/>
    <w:basedOn w:val="4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6">
    <w:name w:val="Table Normal1"/>
    <w:autoRedefine/>
    <w:semiHidden/>
    <w:qFormat/>
    <w:uiPriority w:val="99"/>
    <w:pPr>
      <w:widowControl w:val="0"/>
    </w:pPr>
    <w:rPr>
      <w:rFonts w:cs="楷体_GB2312"/>
      <w:sz w:val="22"/>
      <w:szCs w:val="22"/>
      <w:lang w:eastAsia="en-US"/>
    </w:rPr>
    <w:tblPr>
      <w:tblCellMar>
        <w:top w:w="0" w:type="dxa"/>
        <w:left w:w="0" w:type="dxa"/>
        <w:bottom w:w="0" w:type="dxa"/>
        <w:right w:w="0" w:type="dxa"/>
      </w:tblCellMar>
    </w:tblPr>
  </w:style>
  <w:style w:type="paragraph" w:customStyle="1" w:styleId="307">
    <w:name w:val="表格内"/>
    <w:basedOn w:val="1"/>
    <w:autoRedefine/>
    <w:qFormat/>
    <w:uiPriority w:val="0"/>
    <w:rPr>
      <w:rFonts w:ascii="Times New Roman" w:hAnsi="宋体" w:eastAsia="宋体" w:cs="Times New Roman (正文 CS 字体)"/>
      <w:szCs w:val="21"/>
    </w:rPr>
  </w:style>
  <w:style w:type="paragraph" w:customStyle="1" w:styleId="308">
    <w:name w:val="WPSOffice手动目录 1"/>
    <w:autoRedefine/>
    <w:qFormat/>
    <w:uiPriority w:val="0"/>
    <w:rPr>
      <w:rFonts w:ascii="Times New Roman" w:hAnsi="Times New Roman" w:eastAsia="宋体" w:cs="Times New Roman"/>
      <w:lang w:val="en-US" w:eastAsia="zh-CN" w:bidi="ar-SA"/>
    </w:rPr>
  </w:style>
  <w:style w:type="paragraph" w:customStyle="1" w:styleId="309">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310">
    <w:name w:val="WPSOffice手动目录 3"/>
    <w:autoRedefine/>
    <w:qFormat/>
    <w:uiPriority w:val="0"/>
    <w:pPr>
      <w:ind w:left="400" w:leftChars="400"/>
    </w:pPr>
    <w:rPr>
      <w:rFonts w:ascii="Times New Roman" w:hAnsi="Times New Roman" w:eastAsia="宋体" w:cs="Times New Roman"/>
      <w:lang w:val="en-US" w:eastAsia="zh-CN" w:bidi="ar-SA"/>
    </w:rPr>
  </w:style>
  <w:style w:type="character" w:customStyle="1" w:styleId="311">
    <w:name w:val="font101"/>
    <w:autoRedefine/>
    <w:qFormat/>
    <w:uiPriority w:val="0"/>
    <w:rPr>
      <w:rFonts w:hint="eastAsia" w:ascii="宋体" w:hAnsi="宋体" w:eastAsia="宋体" w:cs="宋体"/>
      <w:color w:val="000000"/>
      <w:sz w:val="20"/>
      <w:szCs w:val="20"/>
      <w:u w:val="none"/>
    </w:rPr>
  </w:style>
  <w:style w:type="character" w:customStyle="1" w:styleId="312">
    <w:name w:val="font81"/>
    <w:autoRedefine/>
    <w:qFormat/>
    <w:uiPriority w:val="0"/>
    <w:rPr>
      <w:rFonts w:hint="default" w:ascii="Arial" w:hAnsi="Arial" w:cs="Arial"/>
      <w:color w:val="000000"/>
      <w:sz w:val="20"/>
      <w:szCs w:val="20"/>
      <w:u w:val="none"/>
    </w:rPr>
  </w:style>
  <w:style w:type="character" w:customStyle="1" w:styleId="313">
    <w:name w:val="font61"/>
    <w:autoRedefine/>
    <w:qFormat/>
    <w:uiPriority w:val="0"/>
    <w:rPr>
      <w:rFonts w:hint="eastAsia" w:ascii="宋体" w:hAnsi="宋体" w:eastAsia="宋体" w:cs="宋体"/>
      <w:color w:val="000000"/>
      <w:sz w:val="24"/>
      <w:szCs w:val="24"/>
      <w:u w:val="none"/>
    </w:rPr>
  </w:style>
  <w:style w:type="character" w:customStyle="1" w:styleId="314">
    <w:name w:val="font121"/>
    <w:autoRedefine/>
    <w:qFormat/>
    <w:uiPriority w:val="0"/>
    <w:rPr>
      <w:rFonts w:hint="default" w:ascii="Arial" w:hAnsi="Arial" w:cs="Arial"/>
      <w:color w:val="000000"/>
      <w:sz w:val="24"/>
      <w:szCs w:val="24"/>
      <w:u w:val="none"/>
    </w:rPr>
  </w:style>
  <w:style w:type="paragraph" w:customStyle="1" w:styleId="315">
    <w:name w:val="列出段落3"/>
    <w:basedOn w:val="1"/>
    <w:autoRedefine/>
    <w:qFormat/>
    <w:uiPriority w:val="34"/>
    <w:pPr>
      <w:ind w:firstLine="420" w:firstLineChars="200"/>
    </w:pPr>
    <w:rPr>
      <w:rFonts w:ascii="Calibri" w:hAnsi="Calibri" w:eastAsia="宋体" w:cs="Times New Roman"/>
      <w:szCs w:val="22"/>
    </w:rPr>
  </w:style>
  <w:style w:type="character" w:customStyle="1" w:styleId="316">
    <w:name w:val="font31"/>
    <w:autoRedefine/>
    <w:qFormat/>
    <w:uiPriority w:val="0"/>
    <w:rPr>
      <w:rFonts w:hint="eastAsia" w:ascii="宋体" w:hAnsi="宋体" w:eastAsia="宋体" w:cs="宋体"/>
      <w:color w:val="000000"/>
      <w:sz w:val="24"/>
      <w:szCs w:val="24"/>
      <w:u w:val="none"/>
    </w:rPr>
  </w:style>
  <w:style w:type="character" w:customStyle="1" w:styleId="317">
    <w:name w:val="font41"/>
    <w:autoRedefine/>
    <w:qFormat/>
    <w:uiPriority w:val="0"/>
    <w:rPr>
      <w:rFonts w:hint="eastAsia" w:ascii="宋体" w:hAnsi="宋体" w:eastAsia="宋体" w:cs="宋体"/>
      <w:color w:val="000000"/>
      <w:sz w:val="24"/>
      <w:szCs w:val="24"/>
      <w:u w:val="none"/>
    </w:rPr>
  </w:style>
  <w:style w:type="character" w:customStyle="1" w:styleId="318">
    <w:name w:val="font21"/>
    <w:basedOn w:val="48"/>
    <w:autoRedefine/>
    <w:qFormat/>
    <w:uiPriority w:val="0"/>
    <w:rPr>
      <w:rFonts w:hint="eastAsia" w:ascii="宋体" w:hAnsi="宋体" w:eastAsia="宋体" w:cs="宋体"/>
      <w:color w:val="000000"/>
      <w:sz w:val="18"/>
      <w:szCs w:val="18"/>
      <w:u w:val="none"/>
    </w:rPr>
  </w:style>
  <w:style w:type="character" w:customStyle="1" w:styleId="319">
    <w:name w:val="font51"/>
    <w:basedOn w:val="48"/>
    <w:autoRedefine/>
    <w:qFormat/>
    <w:uiPriority w:val="0"/>
    <w:rPr>
      <w:rFonts w:hint="eastAsia" w:ascii="宋体" w:hAnsi="宋体" w:eastAsia="宋体" w:cs="宋体"/>
      <w:color w:val="FF0000"/>
      <w:sz w:val="18"/>
      <w:szCs w:val="18"/>
      <w:u w:val="none"/>
    </w:rPr>
  </w:style>
  <w:style w:type="character" w:customStyle="1" w:styleId="320">
    <w:name w:val="font11"/>
    <w:basedOn w:val="48"/>
    <w:autoRedefine/>
    <w:qFormat/>
    <w:uiPriority w:val="0"/>
    <w:rPr>
      <w:rFonts w:hint="eastAsia" w:ascii="宋体" w:hAnsi="宋体" w:eastAsia="宋体" w:cs="宋体"/>
      <w:b/>
      <w:color w:val="000000"/>
      <w:sz w:val="21"/>
      <w:szCs w:val="21"/>
      <w:u w:val="none"/>
    </w:rPr>
  </w:style>
  <w:style w:type="character" w:customStyle="1" w:styleId="321">
    <w:name w:val="font91"/>
    <w:basedOn w:val="48"/>
    <w:autoRedefine/>
    <w:qFormat/>
    <w:uiPriority w:val="0"/>
    <w:rPr>
      <w:rFonts w:hint="eastAsia" w:ascii="宋体" w:hAnsi="宋体" w:eastAsia="宋体" w:cs="宋体"/>
      <w:color w:val="000000"/>
      <w:sz w:val="24"/>
      <w:szCs w:val="24"/>
      <w:u w:val="none"/>
    </w:rPr>
  </w:style>
  <w:style w:type="paragraph" w:customStyle="1" w:styleId="322">
    <w:name w:val="列出段落4"/>
    <w:basedOn w:val="1"/>
    <w:autoRedefine/>
    <w:qFormat/>
    <w:uiPriority w:val="99"/>
    <w:pPr>
      <w:ind w:firstLine="420" w:firstLineChars="200"/>
    </w:pPr>
  </w:style>
  <w:style w:type="paragraph" w:customStyle="1" w:styleId="323">
    <w:name w:val="Quote1"/>
    <w:next w:val="1"/>
    <w:autoRedefine/>
    <w:qFormat/>
    <w:uiPriority w:val="99"/>
    <w:pPr>
      <w:wordWrap w:val="0"/>
      <w:spacing w:before="200" w:after="160"/>
      <w:ind w:left="864" w:right="864"/>
      <w:jc w:val="center"/>
    </w:pPr>
    <w:rPr>
      <w:rFonts w:ascii="宋体" w:hAnsi="Times New Roman" w:eastAsia="宋体" w:cs="Times New Roman"/>
      <w:i/>
      <w:color w:val="404040"/>
      <w:kern w:val="2"/>
      <w:sz w:val="21"/>
      <w:szCs w:val="24"/>
      <w:lang w:val="en-US" w:eastAsia="zh-CN" w:bidi="ar-SA"/>
    </w:rPr>
  </w:style>
  <w:style w:type="paragraph" w:customStyle="1" w:styleId="324">
    <w:name w:val="目录 71"/>
    <w:next w:val="1"/>
    <w:autoRedefine/>
    <w:qFormat/>
    <w:uiPriority w:val="0"/>
    <w:pPr>
      <w:wordWrap w:val="0"/>
      <w:ind w:left="2550"/>
      <w:jc w:val="both"/>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C1A5B1-5024-4CCE-B276-EBA32ADB4CC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65</Pages>
  <Words>29825</Words>
  <Characters>31315</Characters>
  <Lines>233</Lines>
  <Paragraphs>65</Paragraphs>
  <TotalTime>0</TotalTime>
  <ScaleCrop>false</ScaleCrop>
  <LinksUpToDate>false</LinksUpToDate>
  <CharactersWithSpaces>32649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2022-05-30T11:22:00Z</dcterms:created>
  <dc:creator>周峰</dc:creator>
  <cp:lastModifiedBy>不期而遇</cp:lastModifiedBy>
  <cp:lastPrinted>2024-04-16T05:55:00Z</cp:lastPrinted>
  <dcterms:modified xsi:type="dcterms:W3CDTF">2024-04-29T09:59:53Z</dcterms:modified>
  <dc:title>招标文件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2D3018F41BBC404B912EBD2DE0CA3276_13</vt:lpwstr>
  </property>
</Properties>
</file>